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706622">
      <w:pPr>
        <w:suppressLineNumbers/>
        <w:jc w:val="both"/>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706622">
            <w:pPr>
              <w:suppressLineNumbers/>
              <w:jc w:val="both"/>
              <w:rPr>
                <w:rFonts w:ascii="Arial" w:hAnsi="Arial"/>
                <w:b/>
                <w:bCs/>
                <w:noProof w:val="0"/>
                <w:sz w:val="26"/>
                <w:szCs w:val="26"/>
                <w:rtl/>
              </w:rPr>
            </w:pPr>
          </w:p>
        </w:tc>
        <w:tc>
          <w:tcPr>
            <w:tcW w:w="3771" w:type="dxa"/>
          </w:tcPr>
          <w:p w:rsidR="0094424E" w:rsidRDefault="0094424E" w:rsidP="00706622">
            <w:pPr>
              <w:suppressLineNumbers/>
              <w:jc w:val="both"/>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22</w:t>
                </w:r>
              </w:sdtContent>
            </w:sdt>
          </w:p>
        </w:tc>
      </w:tr>
      <w:tr w:rsidR="0094424E">
        <w:trPr>
          <w:jc w:val="center"/>
        </w:trPr>
        <w:tc>
          <w:tcPr>
            <w:tcW w:w="743" w:type="dxa"/>
          </w:tcPr>
          <w:p w:rsidR="0094424E" w:rsidRPr="008A59EE" w:rsidRDefault="0094424E" w:rsidP="00706622">
            <w:pPr>
              <w:suppressLineNumbers/>
              <w:jc w:val="both"/>
              <w:rPr>
                <w:rFonts w:ascii="Arial" w:hAnsi="Arial"/>
                <w:b/>
                <w:bCs/>
                <w:sz w:val="26"/>
                <w:szCs w:val="26"/>
                <w:rtl/>
              </w:rPr>
            </w:pPr>
            <w:r w:rsidRPr="008A59EE">
              <w:rPr>
                <w:rFonts w:ascii="Arial" w:hAnsi="Arial" w:hint="cs"/>
                <w:b/>
                <w:bCs/>
                <w:sz w:val="26"/>
                <w:szCs w:val="26"/>
                <w:rtl/>
              </w:rPr>
              <w:t>ב</w:t>
            </w:r>
            <w:r w:rsidRPr="008A59EE">
              <w:rPr>
                <w:rFonts w:ascii="Arial" w:hAnsi="Arial"/>
                <w:b/>
                <w:bCs/>
                <w:sz w:val="26"/>
                <w:szCs w:val="26"/>
                <w:rtl/>
              </w:rPr>
              <w:t xml:space="preserve">פני </w:t>
            </w:r>
          </w:p>
        </w:tc>
        <w:tc>
          <w:tcPr>
            <w:tcW w:w="8077" w:type="dxa"/>
            <w:gridSpan w:val="3"/>
          </w:tcPr>
          <w:p w:rsidR="0094424E" w:rsidRPr="008A59EE" w:rsidRDefault="000529D2" w:rsidP="00706622">
            <w:pPr>
              <w:suppressLineNumbers/>
              <w:jc w:val="both"/>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רוית פלג בר-דיין</w:t>
                </w:r>
              </w:sdtContent>
            </w:sdt>
          </w:p>
          <w:p w:rsidR="00007DE0" w:rsidRPr="008A59EE" w:rsidRDefault="00007DE0" w:rsidP="00706622">
            <w:pPr>
              <w:suppressLineNumbers/>
              <w:jc w:val="both"/>
              <w:rPr>
                <w:sz w:val="26"/>
                <w:szCs w:val="26"/>
              </w:rPr>
            </w:pPr>
          </w:p>
        </w:tc>
      </w:tr>
      <w:tr w:rsidR="0094424E" w:rsidTr="00465D36">
        <w:trPr>
          <w:jc w:val="center"/>
        </w:trPr>
        <w:tc>
          <w:tcPr>
            <w:tcW w:w="3249" w:type="dxa"/>
            <w:gridSpan w:val="2"/>
          </w:tcPr>
          <w:p w:rsidR="00FA7FD0" w:rsidRDefault="00FA7FD0" w:rsidP="00EC0E83">
            <w:pPr>
              <w:suppressLineNumbers/>
              <w:spacing w:line="360" w:lineRule="auto"/>
              <w:jc w:val="both"/>
              <w:rPr>
                <w:rtl/>
              </w:rPr>
            </w:pPr>
          </w:p>
          <w:sdt>
            <w:sdtPr>
              <w:rPr>
                <w:rtl/>
              </w:rPr>
              <w:alias w:val="1180"/>
              <w:tag w:val="1180"/>
              <w:id w:val="637458750"/>
              <w:text w:multiLine="1"/>
            </w:sdtPr>
            <w:sdtEndPr/>
            <w:sdtContent>
              <w:p w:rsidR="00636421" w:rsidRDefault="00706622" w:rsidP="00EC0E83">
                <w:pPr>
                  <w:suppressLineNumbers/>
                  <w:spacing w:line="360" w:lineRule="auto"/>
                  <w:jc w:val="both"/>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gridSpan w:val="2"/>
          </w:tcPr>
          <w:p w:rsidR="00FA7FD0" w:rsidRDefault="00FA7FD0" w:rsidP="00EC0E83">
            <w:pPr>
              <w:suppressLineNumbers/>
              <w:spacing w:line="360" w:lineRule="auto"/>
              <w:jc w:val="both"/>
              <w:rPr>
                <w:rtl/>
              </w:rPr>
            </w:pPr>
          </w:p>
          <w:p w:rsidR="0094424E" w:rsidRDefault="003B0618" w:rsidP="00EC0E83">
            <w:pPr>
              <w:suppressLineNumbers/>
              <w:spacing w:line="360" w:lineRule="auto"/>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EC0E83">
                  <w:rPr>
                    <w:rFonts w:ascii="Arial" w:hAnsi="Arial"/>
                    <w:b/>
                    <w:bCs/>
                    <w:noProof w:val="0"/>
                    <w:sz w:val="26"/>
                    <w:szCs w:val="26"/>
                    <w:rtl/>
                  </w:rPr>
                  <w:t>מדינת</w:t>
                </w:r>
                <w:r w:rsidR="00EC0E83">
                  <w:rPr>
                    <w:rFonts w:ascii="Arial" w:hAnsi="Arial" w:hint="cs"/>
                    <w:b/>
                    <w:bCs/>
                    <w:noProof w:val="0"/>
                    <w:sz w:val="26"/>
                    <w:szCs w:val="26"/>
                    <w:rtl/>
                  </w:rPr>
                  <w:t xml:space="preserve"> </w:t>
                </w:r>
                <w:r w:rsidR="00FE09EC">
                  <w:rPr>
                    <w:rFonts w:ascii="Arial" w:hAnsi="Arial"/>
                    <w:b/>
                    <w:bCs/>
                    <w:noProof w:val="0"/>
                    <w:sz w:val="26"/>
                    <w:szCs w:val="26"/>
                    <w:rtl/>
                  </w:rPr>
                  <w:t>ישראל</w:t>
                </w:r>
                <w:r w:rsidR="00706622">
                  <w:rPr>
                    <w:rFonts w:ascii="Arial" w:hAnsi="Arial" w:hint="cs"/>
                    <w:b/>
                    <w:bCs/>
                    <w:noProof w:val="0"/>
                    <w:sz w:val="26"/>
                    <w:szCs w:val="26"/>
                    <w:rtl/>
                  </w:rPr>
                  <w:t>-</w:t>
                </w:r>
                <w:r w:rsidR="00706622">
                  <w:rPr>
                    <w:rFonts w:ascii="Arial" w:hAnsi="Arial"/>
                    <w:b/>
                    <w:bCs/>
                    <w:noProof w:val="0"/>
                    <w:sz w:val="26"/>
                    <w:szCs w:val="26"/>
                    <w:rtl/>
                  </w:rPr>
                  <w:br/>
                </w:r>
                <w:r w:rsidR="00706622">
                  <w:rPr>
                    <w:rFonts w:ascii="Arial" w:hAnsi="Arial" w:hint="cs"/>
                    <w:b/>
                    <w:bCs/>
                    <w:noProof w:val="0"/>
                    <w:sz w:val="26"/>
                    <w:szCs w:val="26"/>
                    <w:rtl/>
                  </w:rPr>
                  <w:t>ע"י ב"כ עו"ד בן חמו</w:t>
                </w:r>
              </w:sdtContent>
            </w:sdt>
          </w:p>
        </w:tc>
      </w:tr>
      <w:tr w:rsidR="0094424E">
        <w:trPr>
          <w:jc w:val="center"/>
        </w:trPr>
        <w:tc>
          <w:tcPr>
            <w:tcW w:w="8820" w:type="dxa"/>
            <w:gridSpan w:val="4"/>
          </w:tcPr>
          <w:p w:rsidR="0094424E" w:rsidRDefault="0094424E" w:rsidP="00EC0E83">
            <w:pPr>
              <w:suppressLineNumbers/>
              <w:spacing w:line="360" w:lineRule="auto"/>
              <w:jc w:val="both"/>
              <w:rPr>
                <w:rFonts w:ascii="Arial" w:hAnsi="Arial"/>
                <w:b/>
                <w:bCs/>
                <w:noProof w:val="0"/>
                <w:sz w:val="26"/>
                <w:szCs w:val="26"/>
                <w:rtl/>
              </w:rPr>
            </w:pPr>
          </w:p>
          <w:p w:rsidR="0094424E" w:rsidRDefault="0094424E" w:rsidP="00EC0E83">
            <w:pPr>
              <w:suppressLineNumbers/>
              <w:spacing w:line="360" w:lineRule="auto"/>
              <w:jc w:val="center"/>
              <w:rPr>
                <w:rFonts w:ascii="Arial" w:hAnsi="Arial"/>
                <w:b/>
                <w:bCs/>
                <w:noProof w:val="0"/>
                <w:sz w:val="26"/>
                <w:szCs w:val="26"/>
                <w:rtl/>
              </w:rPr>
            </w:pPr>
            <w:r>
              <w:rPr>
                <w:rFonts w:ascii="Arial" w:hAnsi="Arial"/>
                <w:b/>
                <w:bCs/>
                <w:noProof w:val="0"/>
                <w:sz w:val="26"/>
                <w:szCs w:val="26"/>
                <w:rtl/>
              </w:rPr>
              <w:t>נגד</w:t>
            </w:r>
          </w:p>
          <w:p w:rsidR="0094424E" w:rsidRDefault="0094424E" w:rsidP="00EC0E83">
            <w:pPr>
              <w:suppressLineNumbers/>
              <w:spacing w:line="360" w:lineRule="auto"/>
              <w:jc w:val="both"/>
              <w:rPr>
                <w:rFonts w:ascii="Arial" w:hAnsi="Arial"/>
                <w:b/>
                <w:bCs/>
                <w:noProof w:val="0"/>
                <w:sz w:val="26"/>
                <w:szCs w:val="26"/>
              </w:rPr>
            </w:pPr>
          </w:p>
        </w:tc>
      </w:tr>
      <w:tr w:rsidR="0094424E">
        <w:trPr>
          <w:jc w:val="center"/>
        </w:trPr>
        <w:tc>
          <w:tcPr>
            <w:tcW w:w="3249" w:type="dxa"/>
            <w:gridSpan w:val="2"/>
          </w:tcPr>
          <w:p w:rsidR="0094424E" w:rsidRDefault="003B0618" w:rsidP="00EC0E83">
            <w:pPr>
              <w:suppressLineNumbers/>
              <w:spacing w:line="360" w:lineRule="auto"/>
              <w:jc w:val="both"/>
              <w:rPr>
                <w:rFonts w:ascii="Arial" w:hAnsi="Arial"/>
                <w:b/>
                <w:bCs/>
                <w:noProof w:val="0"/>
                <w:sz w:val="26"/>
                <w:szCs w:val="26"/>
              </w:rPr>
            </w:pPr>
            <w:sdt>
              <w:sdtPr>
                <w:rPr>
                  <w:rtl/>
                </w:rPr>
                <w:alias w:val="1184"/>
                <w:tag w:val="1184"/>
                <w:id w:val="-340621022"/>
                <w:text w:multiLine="1"/>
              </w:sdtPr>
              <w:sdtEndPr/>
              <w:sdtContent>
                <w:r w:rsidR="00FE09EC">
                  <w:rPr>
                    <w:rFonts w:ascii="Arial" w:hAnsi="Arial"/>
                    <w:b/>
                    <w:bCs/>
                    <w:noProof w:val="0"/>
                    <w:sz w:val="26"/>
                    <w:szCs w:val="26"/>
                    <w:rtl/>
                  </w:rPr>
                  <w:t>משיב</w:t>
                </w:r>
              </w:sdtContent>
            </w:sdt>
          </w:p>
        </w:tc>
        <w:tc>
          <w:tcPr>
            <w:tcW w:w="5571" w:type="dxa"/>
            <w:gridSpan w:val="2"/>
          </w:tcPr>
          <w:p w:rsidR="00CF6BB7" w:rsidRPr="00CD516B" w:rsidRDefault="003B0618" w:rsidP="00EC0E83">
            <w:pPr>
              <w:suppressLineNumbers/>
              <w:spacing w:line="360" w:lineRule="auto"/>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EC0E83">
                  <w:rPr>
                    <w:rFonts w:ascii="Arial" w:hAnsi="Arial"/>
                    <w:b/>
                    <w:bCs/>
                    <w:noProof w:val="0"/>
                    <w:sz w:val="26"/>
                    <w:szCs w:val="26"/>
                    <w:rtl/>
                  </w:rPr>
                  <w:t>מתנאל</w:t>
                </w:r>
                <w:r w:rsidR="00EC0E83">
                  <w:rPr>
                    <w:rFonts w:ascii="Arial" w:hAnsi="Arial" w:hint="cs"/>
                    <w:b/>
                    <w:bCs/>
                    <w:noProof w:val="0"/>
                    <w:sz w:val="26"/>
                    <w:szCs w:val="26"/>
                    <w:rtl/>
                  </w:rPr>
                  <w:t xml:space="preserve"> </w:t>
                </w:r>
                <w:r w:rsidR="00FE09EC">
                  <w:rPr>
                    <w:rFonts w:ascii="Arial" w:hAnsi="Arial"/>
                    <w:b/>
                    <w:bCs/>
                    <w:noProof w:val="0"/>
                    <w:sz w:val="26"/>
                    <w:szCs w:val="26"/>
                    <w:rtl/>
                  </w:rPr>
                  <w:t>נחמני (עציר)</w:t>
                </w:r>
                <w:r w:rsidR="00706622">
                  <w:rPr>
                    <w:rFonts w:ascii="Arial" w:hAnsi="Arial" w:hint="cs"/>
                    <w:b/>
                    <w:bCs/>
                    <w:noProof w:val="0"/>
                    <w:sz w:val="26"/>
                    <w:szCs w:val="26"/>
                    <w:rtl/>
                  </w:rPr>
                  <w:t>-</w:t>
                </w:r>
                <w:r w:rsidR="00706622">
                  <w:rPr>
                    <w:rFonts w:ascii="Arial" w:hAnsi="Arial"/>
                    <w:b/>
                    <w:bCs/>
                    <w:noProof w:val="0"/>
                    <w:sz w:val="26"/>
                    <w:szCs w:val="26"/>
                    <w:rtl/>
                  </w:rPr>
                  <w:br/>
                </w:r>
                <w:r w:rsidR="00706622">
                  <w:rPr>
                    <w:rFonts w:ascii="Arial" w:hAnsi="Arial" w:hint="cs"/>
                    <w:b/>
                    <w:bCs/>
                    <w:noProof w:val="0"/>
                    <w:sz w:val="26"/>
                    <w:szCs w:val="26"/>
                    <w:rtl/>
                  </w:rPr>
                  <w:t>ע"י ב"כ עו"ד שני דבש</w:t>
                </w:r>
              </w:sdtContent>
            </w:sdt>
          </w:p>
        </w:tc>
      </w:tr>
      <w:tr w:rsidR="00694556" w:rsidRPr="00DE1E7D">
        <w:trPr>
          <w:jc w:val="center"/>
        </w:trPr>
        <w:tc>
          <w:tcPr>
            <w:tcW w:w="8820" w:type="dxa"/>
            <w:gridSpan w:val="4"/>
          </w:tcPr>
          <w:p w:rsidR="00706622" w:rsidRDefault="00706622" w:rsidP="00706622">
            <w:pPr>
              <w:jc w:val="both"/>
              <w:rPr>
                <w:rFonts w:ascii="Arial" w:hAnsi="Arial"/>
                <w:b/>
                <w:bCs/>
                <w:noProof w:val="0"/>
                <w:sz w:val="28"/>
                <w:szCs w:val="28"/>
                <w:u w:val="single"/>
                <w:rtl/>
              </w:rPr>
            </w:pPr>
          </w:p>
          <w:p w:rsidR="00EC0E83" w:rsidRDefault="00EC0E83" w:rsidP="00EC0E83">
            <w:pPr>
              <w:jc w:val="center"/>
              <w:rPr>
                <w:rFonts w:ascii="Arial" w:hAnsi="Arial"/>
                <w:b/>
                <w:bCs/>
                <w:noProof w:val="0"/>
                <w:sz w:val="28"/>
                <w:szCs w:val="28"/>
                <w:u w:val="single"/>
                <w:rtl/>
              </w:rPr>
            </w:pPr>
          </w:p>
          <w:p w:rsidR="00694556" w:rsidRDefault="00180519" w:rsidP="00EC0E83">
            <w:pPr>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706622">
            <w:pPr>
              <w:jc w:val="both"/>
              <w:rPr>
                <w:rFonts w:ascii="Arial" w:hAnsi="Arial"/>
                <w:b/>
                <w:bCs/>
                <w:noProof w:val="0"/>
                <w:sz w:val="28"/>
                <w:szCs w:val="28"/>
                <w:u w:val="single"/>
              </w:rPr>
            </w:pPr>
          </w:p>
        </w:tc>
      </w:tr>
    </w:tbl>
    <w:p w:rsidR="00706622" w:rsidRPr="00706622" w:rsidRDefault="00706622" w:rsidP="00706622">
      <w:pPr>
        <w:spacing w:line="360" w:lineRule="auto"/>
        <w:jc w:val="both"/>
        <w:rPr>
          <w:rFonts w:ascii="Arial" w:hAnsi="Arial"/>
          <w:noProof w:val="0"/>
          <w:rtl/>
        </w:rPr>
      </w:pPr>
      <w:bookmarkStart w:id="1" w:name="NGCSBookmark"/>
      <w:bookmarkEnd w:id="1"/>
      <w:r w:rsidRPr="00706622">
        <w:rPr>
          <w:rFonts w:ascii="Arial" w:hAnsi="Arial"/>
          <w:noProof w:val="0"/>
          <w:rtl/>
        </w:rPr>
        <w:t>בקשה לזמן את אשת הנאשם למסור עדות בתיק זה כעדת תביעה.</w:t>
      </w:r>
    </w:p>
    <w:p w:rsidR="00706622" w:rsidRPr="00706622" w:rsidRDefault="00706622" w:rsidP="00706622">
      <w:pPr>
        <w:spacing w:line="360" w:lineRule="auto"/>
        <w:jc w:val="both"/>
        <w:rPr>
          <w:rFonts w:ascii="Arial" w:hAnsi="Arial"/>
          <w:noProof w:val="0"/>
          <w:rtl/>
        </w:rPr>
      </w:pPr>
    </w:p>
    <w:p w:rsidR="00706622" w:rsidRPr="00706622" w:rsidRDefault="00706622" w:rsidP="00706622">
      <w:pPr>
        <w:spacing w:line="360" w:lineRule="auto"/>
        <w:jc w:val="both"/>
        <w:rPr>
          <w:rFonts w:ascii="Arial" w:hAnsi="Arial"/>
          <w:noProof w:val="0"/>
          <w:rtl/>
        </w:rPr>
      </w:pPr>
      <w:r w:rsidRPr="00706622">
        <w:rPr>
          <w:rFonts w:ascii="Arial" w:hAnsi="Arial"/>
          <w:noProof w:val="0"/>
          <w:rtl/>
        </w:rPr>
        <w:t>השאלה העומדת בפניי היא האם אישום בגין גרם תאונת דרכים שתוצאותיה חבלה לגוף ביחד עם אי הגשת עזרה לנפגע בתאונת דרכים הינה בגדר עבירת אלימות לפי סע' 5(א)(1) ל</w:t>
      </w:r>
      <w:r w:rsidRPr="00706622">
        <w:rPr>
          <w:rFonts w:ascii="Arial" w:hAnsi="Arial"/>
          <w:b/>
          <w:bCs/>
          <w:noProof w:val="0"/>
          <w:rtl/>
        </w:rPr>
        <w:t xml:space="preserve">פקודת הראיות [נוסח חדש], תשל"א-1971 </w:t>
      </w:r>
      <w:r w:rsidRPr="00706622">
        <w:rPr>
          <w:rFonts w:ascii="Arial" w:hAnsi="Arial"/>
          <w:noProof w:val="0"/>
          <w:rtl/>
        </w:rPr>
        <w:t>(להלן: "</w:t>
      </w:r>
      <w:r w:rsidRPr="00706622">
        <w:rPr>
          <w:rFonts w:ascii="Arial" w:hAnsi="Arial"/>
          <w:b/>
          <w:bCs/>
          <w:noProof w:val="0"/>
          <w:rtl/>
        </w:rPr>
        <w:t>פקודת הראיות</w:t>
      </w:r>
      <w:r w:rsidRPr="00706622">
        <w:rPr>
          <w:rFonts w:ascii="Arial" w:hAnsi="Arial"/>
          <w:noProof w:val="0"/>
          <w:rtl/>
        </w:rPr>
        <w:t>").</w:t>
      </w:r>
    </w:p>
    <w:p w:rsidR="00706622" w:rsidRPr="00706622" w:rsidRDefault="00706622" w:rsidP="00706622">
      <w:pPr>
        <w:spacing w:line="360" w:lineRule="auto"/>
        <w:jc w:val="both"/>
        <w:rPr>
          <w:rFonts w:ascii="Arial" w:hAnsi="Arial"/>
          <w:noProof w:val="0"/>
          <w:rtl/>
        </w:rPr>
      </w:pPr>
    </w:p>
    <w:p w:rsidR="00706622" w:rsidRPr="00706622" w:rsidRDefault="00EC0E83" w:rsidP="00706622">
      <w:pPr>
        <w:spacing w:line="360" w:lineRule="auto"/>
        <w:ind w:left="720" w:hanging="720"/>
        <w:jc w:val="both"/>
        <w:rPr>
          <w:rFonts w:ascii="Arial" w:hAnsi="Arial"/>
          <w:noProof w:val="0"/>
          <w:rtl/>
        </w:rPr>
      </w:pPr>
      <w:r>
        <w:rPr>
          <w:rFonts w:ascii="Arial" w:hAnsi="Arial"/>
          <w:noProof w:val="0"/>
          <w:rtl/>
        </w:rPr>
        <w:t>1.</w:t>
      </w:r>
      <w:r>
        <w:rPr>
          <w:rFonts w:ascii="Arial" w:hAnsi="Arial"/>
          <w:noProof w:val="0"/>
          <w:rtl/>
        </w:rPr>
        <w:tab/>
      </w:r>
      <w:r w:rsidR="00706622" w:rsidRPr="00706622">
        <w:rPr>
          <w:rFonts w:ascii="Arial" w:hAnsi="Arial"/>
          <w:noProof w:val="0"/>
          <w:rtl/>
        </w:rPr>
        <w:t>כנגד המשיב הוגש כתב אישום מתוקן המייחס לו עבירות של נהיגה בקלות ראש, התנהגות הגורמת לנזק, אי ציות להוראות שוטרים, נהיגה ללא רישיון, נהיגה ללא ביטוח, אי הגשת עזרה לנפגע בתאונה, אי מסירת פרטים ונהיגה בזמן פסילה.</w:t>
      </w:r>
    </w:p>
    <w:p w:rsidR="00706622" w:rsidRPr="00706622" w:rsidRDefault="00706622" w:rsidP="00706622">
      <w:pPr>
        <w:spacing w:line="360" w:lineRule="auto"/>
        <w:jc w:val="both"/>
        <w:rPr>
          <w:rFonts w:ascii="Arial" w:hAnsi="Arial"/>
          <w:noProof w:val="0"/>
          <w:rtl/>
        </w:rPr>
      </w:pPr>
    </w:p>
    <w:p w:rsidR="00706622" w:rsidRPr="00706622" w:rsidRDefault="00706622" w:rsidP="00706622">
      <w:pPr>
        <w:spacing w:line="360" w:lineRule="auto"/>
        <w:jc w:val="both"/>
        <w:rPr>
          <w:rFonts w:ascii="Arial" w:hAnsi="Arial"/>
          <w:noProof w:val="0"/>
          <w:rtl/>
        </w:rPr>
      </w:pPr>
      <w:r w:rsidRPr="00706622">
        <w:rPr>
          <w:rFonts w:ascii="Arial" w:hAnsi="Arial"/>
          <w:noProof w:val="0"/>
          <w:rtl/>
        </w:rPr>
        <w:t>2.</w:t>
      </w:r>
      <w:r w:rsidRPr="00706622">
        <w:rPr>
          <w:rFonts w:ascii="Arial" w:hAnsi="Arial"/>
          <w:noProof w:val="0"/>
          <w:rtl/>
        </w:rPr>
        <w:tab/>
        <w:t>הדיונים בעניינו של המשיב נדחו מעת לעת בנסיבות שונות.</w:t>
      </w:r>
    </w:p>
    <w:p w:rsidR="00706622" w:rsidRPr="00706622" w:rsidRDefault="00706622" w:rsidP="00706622">
      <w:pPr>
        <w:spacing w:line="360" w:lineRule="auto"/>
        <w:jc w:val="both"/>
        <w:rPr>
          <w:rFonts w:ascii="Arial" w:hAnsi="Arial"/>
          <w:noProof w:val="0"/>
          <w:rtl/>
        </w:rPr>
      </w:pPr>
    </w:p>
    <w:p w:rsidR="00706622" w:rsidRPr="00706622" w:rsidRDefault="00706622" w:rsidP="00706622">
      <w:pPr>
        <w:spacing w:line="360" w:lineRule="auto"/>
        <w:ind w:left="720" w:hanging="720"/>
        <w:jc w:val="both"/>
        <w:rPr>
          <w:rFonts w:ascii="Arial" w:hAnsi="Arial"/>
          <w:noProof w:val="0"/>
          <w:rtl/>
        </w:rPr>
      </w:pPr>
      <w:r w:rsidRPr="00706622">
        <w:rPr>
          <w:rFonts w:ascii="Arial" w:hAnsi="Arial"/>
          <w:noProof w:val="0"/>
          <w:rtl/>
        </w:rPr>
        <w:t>3.</w:t>
      </w:r>
      <w:r w:rsidRPr="00706622">
        <w:rPr>
          <w:rFonts w:ascii="Arial" w:hAnsi="Arial"/>
          <w:noProof w:val="0"/>
          <w:rtl/>
        </w:rPr>
        <w:tab/>
        <w:t>ביום 16.11.22 ניתן מענה מפורט לכתב האישום המתוקן, כאשר בדיון זה הוסכם על זימון עדים, כאשר עדת תביעה מס' 21 – אשת הנאשם – נכללה בתוכם (ראה פרוטוקול דיון מיום 16.11.22, עמ'  24 שורה 2).</w:t>
      </w:r>
    </w:p>
    <w:p w:rsidR="00706622" w:rsidRPr="00706622" w:rsidRDefault="00706622" w:rsidP="00706622">
      <w:pPr>
        <w:spacing w:line="360" w:lineRule="auto"/>
        <w:jc w:val="both"/>
        <w:rPr>
          <w:rFonts w:ascii="Arial" w:hAnsi="Arial"/>
          <w:noProof w:val="0"/>
          <w:rtl/>
        </w:rPr>
      </w:pPr>
    </w:p>
    <w:p w:rsidR="00706622" w:rsidRPr="00706622" w:rsidRDefault="00706622" w:rsidP="00706622">
      <w:pPr>
        <w:spacing w:line="360" w:lineRule="auto"/>
        <w:ind w:left="720" w:hanging="720"/>
        <w:jc w:val="both"/>
        <w:rPr>
          <w:rFonts w:ascii="Arial" w:hAnsi="Arial"/>
          <w:noProof w:val="0"/>
          <w:rtl/>
        </w:rPr>
      </w:pPr>
      <w:r w:rsidRPr="00706622">
        <w:rPr>
          <w:rFonts w:ascii="Arial" w:hAnsi="Arial"/>
          <w:noProof w:val="0"/>
          <w:rtl/>
        </w:rPr>
        <w:t>4.</w:t>
      </w:r>
      <w:r w:rsidRPr="00706622">
        <w:rPr>
          <w:rFonts w:ascii="Arial" w:hAnsi="Arial"/>
          <w:noProof w:val="0"/>
          <w:rtl/>
        </w:rPr>
        <w:tab/>
        <w:t>בדיון מיום 1.2.23, שבו הצדדים לדון בעניין העדים כאשר עדת תביעה מס' 21 – אשת הנאשם – הוזכרה ע"י ההגנה.</w:t>
      </w:r>
    </w:p>
    <w:p w:rsidR="00706622" w:rsidRPr="00706622" w:rsidRDefault="00706622" w:rsidP="00706622">
      <w:pPr>
        <w:spacing w:line="360" w:lineRule="auto"/>
        <w:jc w:val="both"/>
        <w:rPr>
          <w:rFonts w:ascii="Arial" w:hAnsi="Arial"/>
          <w:noProof w:val="0"/>
          <w:rtl/>
        </w:rPr>
      </w:pPr>
    </w:p>
    <w:p w:rsidR="00706622" w:rsidRPr="00706622" w:rsidRDefault="00706622" w:rsidP="00706622">
      <w:pPr>
        <w:spacing w:line="360" w:lineRule="auto"/>
        <w:jc w:val="both"/>
        <w:rPr>
          <w:rFonts w:ascii="Arial" w:hAnsi="Arial"/>
          <w:noProof w:val="0"/>
          <w:rtl/>
        </w:rPr>
      </w:pPr>
      <w:r w:rsidRPr="00706622">
        <w:rPr>
          <w:rFonts w:ascii="Arial" w:hAnsi="Arial"/>
          <w:noProof w:val="0"/>
          <w:rtl/>
        </w:rPr>
        <w:t>5.</w:t>
      </w:r>
      <w:r w:rsidRPr="00706622">
        <w:rPr>
          <w:rFonts w:ascii="Arial" w:hAnsi="Arial"/>
          <w:noProof w:val="0"/>
          <w:rtl/>
        </w:rPr>
        <w:tab/>
        <w:t xml:space="preserve">פרשת התביעה החלה, ועדים נשמעו אחד אחריי השני במס' דיונים. </w:t>
      </w:r>
    </w:p>
    <w:p w:rsidR="00706622" w:rsidRPr="00706622" w:rsidRDefault="00706622" w:rsidP="00706622">
      <w:pPr>
        <w:spacing w:line="360" w:lineRule="auto"/>
        <w:jc w:val="both"/>
        <w:rPr>
          <w:rFonts w:ascii="Arial" w:hAnsi="Arial"/>
          <w:noProof w:val="0"/>
          <w:rtl/>
        </w:rPr>
      </w:pPr>
    </w:p>
    <w:p w:rsidR="00706622" w:rsidRDefault="00706622" w:rsidP="00706622">
      <w:pPr>
        <w:spacing w:line="360" w:lineRule="auto"/>
        <w:jc w:val="both"/>
        <w:rPr>
          <w:rFonts w:ascii="Arial" w:hAnsi="Arial"/>
          <w:noProof w:val="0"/>
          <w:rtl/>
        </w:rPr>
      </w:pPr>
      <w:r w:rsidRPr="00706622">
        <w:rPr>
          <w:rFonts w:ascii="Arial" w:hAnsi="Arial"/>
          <w:noProof w:val="0"/>
          <w:rtl/>
        </w:rPr>
        <w:t>6.</w:t>
      </w:r>
      <w:r w:rsidRPr="00706622">
        <w:rPr>
          <w:rFonts w:ascii="Arial" w:hAnsi="Arial"/>
          <w:noProof w:val="0"/>
          <w:rtl/>
        </w:rPr>
        <w:tab/>
        <w:t>בדיון מיום 12.2.23, לאחר שהוזכרה הודעת אשת הנאשם כחלק מחקירת עד תביעה מס'</w:t>
      </w:r>
    </w:p>
    <w:p w:rsidR="00706622" w:rsidRPr="00706622" w:rsidRDefault="00706622" w:rsidP="00706622">
      <w:pPr>
        <w:spacing w:line="360" w:lineRule="auto"/>
        <w:ind w:left="720"/>
        <w:jc w:val="both"/>
        <w:rPr>
          <w:rFonts w:ascii="Arial" w:hAnsi="Arial"/>
          <w:noProof w:val="0"/>
          <w:rtl/>
        </w:rPr>
      </w:pPr>
      <w:r w:rsidRPr="00706622">
        <w:rPr>
          <w:rFonts w:ascii="Arial" w:hAnsi="Arial"/>
          <w:noProof w:val="0"/>
          <w:rtl/>
        </w:rPr>
        <w:t>4, ב"כ המשיב ציינה לפרוטוקול כי אשת הנאשם לא תהיה עדת תביעה בתיק על אף שהיא רשומה ברשימת העדים, אך ניתן יהיה להשתמש בדברים שמסרה למשטרה כשהיא לא יכולה לומר אותם ממקור ראשון (ראה פרוטוקול דיון מיום 12.2.23, עמ' 59, שורות 26-27). המאשימה לא הגיבה להערה זו של ההגנה.</w:t>
      </w:r>
    </w:p>
    <w:p w:rsidR="00706622" w:rsidRPr="00706622" w:rsidRDefault="00706622" w:rsidP="00706622">
      <w:pPr>
        <w:spacing w:line="360" w:lineRule="auto"/>
        <w:jc w:val="both"/>
        <w:rPr>
          <w:rFonts w:ascii="Arial" w:hAnsi="Arial"/>
          <w:noProof w:val="0"/>
          <w:rtl/>
        </w:rPr>
      </w:pPr>
    </w:p>
    <w:p w:rsidR="00706622" w:rsidRPr="00706622" w:rsidRDefault="00EC0E83" w:rsidP="00706622">
      <w:pPr>
        <w:spacing w:line="360" w:lineRule="auto"/>
        <w:ind w:left="720" w:hanging="720"/>
        <w:jc w:val="both"/>
        <w:rPr>
          <w:rFonts w:ascii="Arial" w:hAnsi="Arial"/>
          <w:noProof w:val="0"/>
          <w:rtl/>
        </w:rPr>
      </w:pPr>
      <w:r>
        <w:rPr>
          <w:rFonts w:ascii="Arial" w:hAnsi="Arial"/>
          <w:noProof w:val="0"/>
          <w:rtl/>
        </w:rPr>
        <w:t>7.</w:t>
      </w:r>
      <w:r>
        <w:rPr>
          <w:rFonts w:ascii="Arial" w:hAnsi="Arial"/>
          <w:noProof w:val="0"/>
          <w:rtl/>
        </w:rPr>
        <w:tab/>
        <w:t>בדיון מיום 13.3.23, הודיע</w:t>
      </w:r>
      <w:r>
        <w:rPr>
          <w:rFonts w:ascii="Arial" w:hAnsi="Arial" w:hint="cs"/>
          <w:noProof w:val="0"/>
          <w:rtl/>
        </w:rPr>
        <w:t>ה</w:t>
      </w:r>
      <w:r w:rsidR="00706622" w:rsidRPr="00706622">
        <w:rPr>
          <w:rFonts w:ascii="Arial" w:hAnsi="Arial"/>
          <w:noProof w:val="0"/>
          <w:rtl/>
        </w:rPr>
        <w:t xml:space="preserve"> ב"כ המאשימה כי ככל והליך הגישור לא יצלח, ברצונם להעיד את אשת הנאשם (ראה פרוטוקול דיון מיום 13.3.23, עמ' 86, שורה 13).  בית המשפט קבע כי על התביעה להגיש בקשה בעניין זה מבעוד מועד</w:t>
      </w:r>
      <w:r>
        <w:rPr>
          <w:rFonts w:ascii="Arial" w:hAnsi="Arial" w:hint="cs"/>
          <w:noProof w:val="0"/>
          <w:rtl/>
        </w:rPr>
        <w:t>,</w:t>
      </w:r>
      <w:r w:rsidR="00706622" w:rsidRPr="00706622">
        <w:rPr>
          <w:rFonts w:ascii="Arial" w:hAnsi="Arial"/>
          <w:noProof w:val="0"/>
          <w:rtl/>
        </w:rPr>
        <w:t xml:space="preserve"> ומכאן הבקשה שבפניי.</w:t>
      </w:r>
    </w:p>
    <w:p w:rsidR="00706622" w:rsidRPr="00706622" w:rsidRDefault="00706622" w:rsidP="00706622">
      <w:pPr>
        <w:spacing w:line="360" w:lineRule="auto"/>
        <w:jc w:val="both"/>
        <w:rPr>
          <w:rFonts w:ascii="Arial" w:hAnsi="Arial"/>
          <w:noProof w:val="0"/>
          <w:rtl/>
        </w:rPr>
      </w:pPr>
    </w:p>
    <w:p w:rsidR="00706622" w:rsidRPr="00706622" w:rsidRDefault="00706622" w:rsidP="00706622">
      <w:pPr>
        <w:spacing w:line="360" w:lineRule="auto"/>
        <w:ind w:left="720" w:hanging="720"/>
        <w:jc w:val="both"/>
        <w:rPr>
          <w:rFonts w:ascii="Arial" w:hAnsi="Arial"/>
          <w:noProof w:val="0"/>
          <w:rtl/>
        </w:rPr>
      </w:pPr>
      <w:r w:rsidRPr="00706622">
        <w:rPr>
          <w:rFonts w:ascii="Arial" w:hAnsi="Arial"/>
          <w:noProof w:val="0"/>
          <w:rtl/>
        </w:rPr>
        <w:t>8.</w:t>
      </w:r>
      <w:r w:rsidRPr="00706622">
        <w:rPr>
          <w:rFonts w:ascii="Arial" w:hAnsi="Arial"/>
          <w:noProof w:val="0"/>
          <w:rtl/>
        </w:rPr>
        <w:tab/>
        <w:t>המאשימה בבקשתה טענה כי עדותה של עדת תביעה מס' 21 – אשת הנאשם – מותרת לפי סעיף 5(א)(1) לפקודת הראיות ועל כן ביקשה להעידה.</w:t>
      </w:r>
    </w:p>
    <w:p w:rsidR="00706622" w:rsidRPr="00706622" w:rsidRDefault="00706622" w:rsidP="00706622">
      <w:pPr>
        <w:spacing w:line="360" w:lineRule="auto"/>
        <w:jc w:val="both"/>
        <w:rPr>
          <w:rFonts w:ascii="Arial" w:hAnsi="Arial"/>
          <w:noProof w:val="0"/>
          <w:rtl/>
        </w:rPr>
      </w:pPr>
    </w:p>
    <w:p w:rsidR="00706622" w:rsidRPr="00706622" w:rsidRDefault="00706622" w:rsidP="00706622">
      <w:pPr>
        <w:spacing w:line="360" w:lineRule="auto"/>
        <w:ind w:left="720" w:hanging="720"/>
        <w:jc w:val="both"/>
        <w:rPr>
          <w:rFonts w:ascii="Arial" w:hAnsi="Arial"/>
          <w:noProof w:val="0"/>
          <w:rtl/>
        </w:rPr>
      </w:pPr>
      <w:r w:rsidRPr="00706622">
        <w:rPr>
          <w:rFonts w:ascii="Arial" w:hAnsi="Arial"/>
          <w:noProof w:val="0"/>
          <w:rtl/>
        </w:rPr>
        <w:t>9.</w:t>
      </w:r>
      <w:r w:rsidRPr="00706622">
        <w:rPr>
          <w:rFonts w:ascii="Arial" w:hAnsi="Arial"/>
          <w:noProof w:val="0"/>
          <w:rtl/>
        </w:rPr>
        <w:tab/>
        <w:t>ביום 14.5.23, התקבלה תגובת ההגנה לבקשה, בה ההגנה התנגדה לזימון אשת הנאשם למתן עדות. לטענת ההגנה, אין מדובר באירוע של אלימות או של חבלת גוף, ומשכך, אין העניין נכנס תחת הסייג בסעיף 5 לפקודת הראיות.</w:t>
      </w:r>
    </w:p>
    <w:p w:rsidR="00706622" w:rsidRPr="00706622" w:rsidRDefault="00706622" w:rsidP="00706622">
      <w:pPr>
        <w:spacing w:line="360" w:lineRule="auto"/>
        <w:jc w:val="both"/>
        <w:rPr>
          <w:rFonts w:ascii="Arial" w:hAnsi="Arial"/>
          <w:noProof w:val="0"/>
          <w:rtl/>
        </w:rPr>
      </w:pPr>
      <w:r>
        <w:rPr>
          <w:rFonts w:ascii="Arial" w:hAnsi="Arial" w:hint="cs"/>
          <w:noProof w:val="0"/>
          <w:rtl/>
        </w:rPr>
        <w:t xml:space="preserve"> </w:t>
      </w:r>
    </w:p>
    <w:p w:rsidR="00706622" w:rsidRPr="00AD66C9" w:rsidRDefault="00706622" w:rsidP="00706622">
      <w:pPr>
        <w:spacing w:line="360" w:lineRule="auto"/>
        <w:jc w:val="both"/>
        <w:rPr>
          <w:rFonts w:ascii="Arial" w:hAnsi="Arial"/>
          <w:b/>
          <w:bCs/>
          <w:noProof w:val="0"/>
          <w:sz w:val="26"/>
          <w:szCs w:val="26"/>
          <w:u w:val="single"/>
          <w:rtl/>
        </w:rPr>
      </w:pPr>
      <w:r w:rsidRPr="00AD66C9">
        <w:rPr>
          <w:rFonts w:ascii="Arial" w:hAnsi="Arial"/>
          <w:b/>
          <w:bCs/>
          <w:noProof w:val="0"/>
          <w:sz w:val="26"/>
          <w:szCs w:val="26"/>
          <w:u w:val="single"/>
          <w:rtl/>
        </w:rPr>
        <w:t>דיון והכרעה</w:t>
      </w:r>
    </w:p>
    <w:p w:rsidR="00706622" w:rsidRPr="00706622" w:rsidRDefault="00706622" w:rsidP="00706622">
      <w:pPr>
        <w:spacing w:line="360" w:lineRule="auto"/>
        <w:jc w:val="both"/>
        <w:rPr>
          <w:rFonts w:ascii="Arial" w:hAnsi="Arial"/>
          <w:noProof w:val="0"/>
          <w:rtl/>
        </w:rPr>
      </w:pPr>
    </w:p>
    <w:p w:rsidR="00706622" w:rsidRPr="00706622" w:rsidRDefault="00706622" w:rsidP="00706622">
      <w:pPr>
        <w:spacing w:line="360" w:lineRule="auto"/>
        <w:ind w:left="720" w:hanging="720"/>
        <w:jc w:val="both"/>
        <w:rPr>
          <w:rFonts w:ascii="Arial" w:hAnsi="Arial"/>
          <w:noProof w:val="0"/>
          <w:rtl/>
        </w:rPr>
      </w:pPr>
      <w:r w:rsidRPr="00706622">
        <w:rPr>
          <w:rFonts w:ascii="Arial" w:hAnsi="Arial"/>
          <w:noProof w:val="0"/>
          <w:rtl/>
        </w:rPr>
        <w:t>10.</w:t>
      </w:r>
      <w:r w:rsidRPr="00706622">
        <w:rPr>
          <w:rFonts w:ascii="Arial" w:hAnsi="Arial"/>
          <w:noProof w:val="0"/>
          <w:rtl/>
        </w:rPr>
        <w:tab/>
        <w:t>לאחר ששקלתי את טיעוני הצדדים מצאתי כי האירוע בכתב האישום, נכלל תחת ההגדרה "</w:t>
      </w:r>
      <w:r w:rsidRPr="00706622">
        <w:rPr>
          <w:rFonts w:ascii="Arial" w:hAnsi="Arial"/>
          <w:b/>
          <w:bCs/>
          <w:noProof w:val="0"/>
          <w:rtl/>
        </w:rPr>
        <w:t>חבלת גוף או אלימות</w:t>
      </w:r>
      <w:r w:rsidRPr="00706622">
        <w:rPr>
          <w:rFonts w:ascii="Arial" w:hAnsi="Arial"/>
          <w:noProof w:val="0"/>
          <w:rtl/>
        </w:rPr>
        <w:t>", ועל כן חוסה תחת סעיף 5(א)(1) לפקודת הראיות, ומכאן שניתן להעיד את אשת הנאשם.</w:t>
      </w:r>
    </w:p>
    <w:p w:rsidR="00706622" w:rsidRPr="00706622" w:rsidRDefault="00706622" w:rsidP="00706622">
      <w:pPr>
        <w:spacing w:line="360" w:lineRule="auto"/>
        <w:jc w:val="both"/>
        <w:rPr>
          <w:rFonts w:ascii="Arial" w:hAnsi="Arial"/>
          <w:noProof w:val="0"/>
          <w:rtl/>
        </w:rPr>
      </w:pPr>
    </w:p>
    <w:p w:rsidR="00706622" w:rsidRPr="00706622" w:rsidRDefault="00706622" w:rsidP="00706622">
      <w:pPr>
        <w:spacing w:line="360" w:lineRule="auto"/>
        <w:ind w:left="720" w:hanging="720"/>
        <w:jc w:val="both"/>
        <w:rPr>
          <w:rFonts w:ascii="Arial" w:hAnsi="Arial"/>
          <w:noProof w:val="0"/>
          <w:rtl/>
        </w:rPr>
      </w:pPr>
      <w:r w:rsidRPr="00706622">
        <w:rPr>
          <w:rFonts w:ascii="Arial" w:hAnsi="Arial"/>
          <w:noProof w:val="0"/>
          <w:rtl/>
        </w:rPr>
        <w:t>11.</w:t>
      </w:r>
      <w:r w:rsidRPr="00706622">
        <w:rPr>
          <w:rFonts w:ascii="Arial" w:hAnsi="Arial"/>
          <w:noProof w:val="0"/>
          <w:rtl/>
        </w:rPr>
        <w:tab/>
        <w:t>סעיף 2 לפקודת הראיות קובע כי "</w:t>
      </w:r>
      <w:r w:rsidRPr="00706622">
        <w:rPr>
          <w:rFonts w:ascii="Arial" w:hAnsi="Arial"/>
          <w:b/>
          <w:bCs/>
          <w:noProof w:val="0"/>
          <w:rtl/>
        </w:rPr>
        <w:t>הכל כשרים להעיד בכל משפט..</w:t>
      </w:r>
      <w:r w:rsidRPr="00706622">
        <w:rPr>
          <w:rFonts w:ascii="Arial" w:hAnsi="Arial"/>
          <w:noProof w:val="0"/>
          <w:rtl/>
        </w:rPr>
        <w:t>", כאשר סעיף 3 מסייג את הכלל האמור וקובע כי: "</w:t>
      </w:r>
      <w:r w:rsidRPr="00706622">
        <w:rPr>
          <w:rFonts w:ascii="Arial" w:hAnsi="Arial"/>
          <w:b/>
          <w:bCs/>
          <w:noProof w:val="0"/>
          <w:rtl/>
        </w:rPr>
        <w:t>במשפט פלילי אין בן זוג כשר להעיד לחובת בן זוגו..</w:t>
      </w:r>
      <w:r w:rsidRPr="00706622">
        <w:rPr>
          <w:rFonts w:ascii="Arial" w:hAnsi="Arial"/>
          <w:noProof w:val="0"/>
          <w:rtl/>
        </w:rPr>
        <w:t>". סעיף 5(א)(1) מסייג את תחולת הסייג הקבוע בסעיף 3 בכך שהוא מתיר העדת בן זוג במשפט פלילי שענייננו: "</w:t>
      </w:r>
      <w:r w:rsidRPr="00EC0E83">
        <w:rPr>
          <w:rFonts w:ascii="Arial" w:hAnsi="Arial"/>
          <w:b/>
          <w:bCs/>
          <w:noProof w:val="0"/>
          <w:rtl/>
        </w:rPr>
        <w:t>חבלת גוף או אלימות או איום באחד מאלה</w:t>
      </w:r>
      <w:r w:rsidRPr="00706622">
        <w:rPr>
          <w:rFonts w:ascii="Arial" w:hAnsi="Arial"/>
          <w:noProof w:val="0"/>
          <w:rtl/>
        </w:rPr>
        <w:t>".</w:t>
      </w:r>
    </w:p>
    <w:p w:rsidR="00706622" w:rsidRPr="00706622" w:rsidRDefault="00706622" w:rsidP="00706622">
      <w:pPr>
        <w:spacing w:line="360" w:lineRule="auto"/>
        <w:jc w:val="both"/>
        <w:rPr>
          <w:rFonts w:ascii="Arial" w:hAnsi="Arial"/>
          <w:noProof w:val="0"/>
          <w:rtl/>
        </w:rPr>
      </w:pPr>
    </w:p>
    <w:p w:rsidR="00706622" w:rsidRPr="00706622" w:rsidRDefault="00706622" w:rsidP="00706622">
      <w:pPr>
        <w:spacing w:line="360" w:lineRule="auto"/>
        <w:ind w:left="720" w:hanging="720"/>
        <w:jc w:val="both"/>
        <w:rPr>
          <w:rFonts w:ascii="Arial" w:hAnsi="Arial"/>
          <w:noProof w:val="0"/>
          <w:rtl/>
        </w:rPr>
      </w:pPr>
      <w:r w:rsidRPr="00706622">
        <w:rPr>
          <w:rFonts w:ascii="Arial" w:hAnsi="Arial"/>
          <w:noProof w:val="0"/>
          <w:rtl/>
        </w:rPr>
        <w:t>12.</w:t>
      </w:r>
      <w:r w:rsidRPr="00706622">
        <w:rPr>
          <w:rFonts w:ascii="Arial" w:hAnsi="Arial"/>
          <w:noProof w:val="0"/>
          <w:rtl/>
        </w:rPr>
        <w:tab/>
        <w:t xml:space="preserve">בענייננו, הצדדים חלוקים בשאלה האם המשפט שלפניי, שעניינו בין היתר בעבירה של נהיגה בקלות ראש, לפי סעיף 62(2) לפקודת התעבורה, ואי הגשת עזרה לנפגע בתאונה, לפי </w:t>
      </w:r>
      <w:r w:rsidRPr="00706622">
        <w:rPr>
          <w:rFonts w:ascii="Arial" w:hAnsi="Arial"/>
          <w:noProof w:val="0"/>
          <w:rtl/>
        </w:rPr>
        <w:lastRenderedPageBreak/>
        <w:t>תקנה 144(א)(2) לתקנות התעבורה, יחד עם סעיף 38(1) לפקודת התעבורה, הוא בבחינת "</w:t>
      </w:r>
      <w:r w:rsidRPr="00AD66C9">
        <w:rPr>
          <w:rFonts w:ascii="Arial" w:hAnsi="Arial"/>
          <w:b/>
          <w:bCs/>
          <w:noProof w:val="0"/>
          <w:rtl/>
        </w:rPr>
        <w:t>משפט פלילי שעניינו חבלת גוף או אלימות</w:t>
      </w:r>
      <w:r w:rsidRPr="00706622">
        <w:rPr>
          <w:rFonts w:ascii="Arial" w:hAnsi="Arial"/>
          <w:noProof w:val="0"/>
          <w:rtl/>
        </w:rPr>
        <w:t>".</w:t>
      </w:r>
    </w:p>
    <w:p w:rsidR="00706622" w:rsidRPr="00706622" w:rsidRDefault="00706622" w:rsidP="00706622">
      <w:pPr>
        <w:spacing w:line="360" w:lineRule="auto"/>
        <w:jc w:val="both"/>
        <w:rPr>
          <w:rFonts w:ascii="Arial" w:hAnsi="Arial"/>
          <w:noProof w:val="0"/>
          <w:rtl/>
        </w:rPr>
      </w:pPr>
    </w:p>
    <w:p w:rsidR="00706622" w:rsidRPr="00706622" w:rsidRDefault="00706622" w:rsidP="00706622">
      <w:pPr>
        <w:spacing w:line="360" w:lineRule="auto"/>
        <w:ind w:left="720" w:hanging="720"/>
        <w:jc w:val="both"/>
        <w:rPr>
          <w:rFonts w:ascii="Arial" w:hAnsi="Arial"/>
          <w:noProof w:val="0"/>
          <w:rtl/>
        </w:rPr>
      </w:pPr>
      <w:r w:rsidRPr="00706622">
        <w:rPr>
          <w:rFonts w:ascii="Arial" w:hAnsi="Arial"/>
          <w:noProof w:val="0"/>
          <w:rtl/>
        </w:rPr>
        <w:t>13.</w:t>
      </w:r>
      <w:r w:rsidRPr="00706622">
        <w:rPr>
          <w:rFonts w:ascii="Arial" w:hAnsi="Arial"/>
          <w:noProof w:val="0"/>
          <w:rtl/>
        </w:rPr>
        <w:tab/>
        <w:t xml:space="preserve">במשך השנים בית המשפט פירש את המונחים שבסעיף 5 לפקודת הראיות כמשמעותם בלשון בני אדם ובאופן רחב ומקיף, תוך שנקבע כי מונחים אלה אינם מוגבלים לאלימות או חבלה פיזית גופנית בלבד, וניתן להרחיבם לכל שימוש בכוח ולכל פגיעה שהיא בגוף הקורבן (ראה ע"פ 103/80 </w:t>
      </w:r>
      <w:r w:rsidRPr="00AD66C9">
        <w:rPr>
          <w:rFonts w:ascii="Arial" w:hAnsi="Arial"/>
          <w:b/>
          <w:bCs/>
          <w:noProof w:val="0"/>
          <w:rtl/>
        </w:rPr>
        <w:t>קרני נ' מדינת ישראל</w:t>
      </w:r>
      <w:r w:rsidRPr="00706622">
        <w:rPr>
          <w:rFonts w:ascii="Arial" w:hAnsi="Arial"/>
          <w:noProof w:val="0"/>
          <w:rtl/>
        </w:rPr>
        <w:t xml:space="preserve">; ע"פ 95/50 </w:t>
      </w:r>
      <w:r w:rsidRPr="00AD66C9">
        <w:rPr>
          <w:rFonts w:ascii="Arial" w:hAnsi="Arial"/>
          <w:b/>
          <w:bCs/>
          <w:noProof w:val="0"/>
          <w:rtl/>
        </w:rPr>
        <w:t>אריכא נ' היועץ המשפטי לממשלה</w:t>
      </w:r>
      <w:r w:rsidRPr="00706622">
        <w:rPr>
          <w:rFonts w:ascii="Arial" w:hAnsi="Arial"/>
          <w:noProof w:val="0"/>
          <w:rtl/>
        </w:rPr>
        <w:t>).</w:t>
      </w:r>
    </w:p>
    <w:p w:rsidR="00706622" w:rsidRPr="00706622" w:rsidRDefault="00706622" w:rsidP="00706622">
      <w:pPr>
        <w:spacing w:line="360" w:lineRule="auto"/>
        <w:jc w:val="both"/>
        <w:rPr>
          <w:rFonts w:ascii="Arial" w:hAnsi="Arial"/>
          <w:noProof w:val="0"/>
          <w:rtl/>
        </w:rPr>
      </w:pPr>
    </w:p>
    <w:p w:rsidR="00706622" w:rsidRPr="00706622" w:rsidRDefault="00706622" w:rsidP="00706622">
      <w:pPr>
        <w:spacing w:line="360" w:lineRule="auto"/>
        <w:ind w:left="720"/>
        <w:jc w:val="both"/>
        <w:rPr>
          <w:rFonts w:ascii="Arial" w:hAnsi="Arial"/>
          <w:noProof w:val="0"/>
          <w:rtl/>
        </w:rPr>
      </w:pPr>
      <w:r w:rsidRPr="00706622">
        <w:rPr>
          <w:rFonts w:ascii="Arial" w:hAnsi="Arial"/>
          <w:noProof w:val="0"/>
          <w:rtl/>
        </w:rPr>
        <w:t xml:space="preserve">ראה בהקשר זה רע"פ 8188/09 </w:t>
      </w:r>
      <w:r w:rsidRPr="00AD66C9">
        <w:rPr>
          <w:rFonts w:ascii="Arial" w:hAnsi="Arial"/>
          <w:b/>
          <w:bCs/>
          <w:noProof w:val="0"/>
          <w:rtl/>
        </w:rPr>
        <w:t>שלומי דבורה נגד מדינת ישראל</w:t>
      </w:r>
      <w:r w:rsidRPr="00706622">
        <w:rPr>
          <w:rFonts w:ascii="Arial" w:hAnsi="Arial"/>
          <w:noProof w:val="0"/>
          <w:rtl/>
        </w:rPr>
        <w:t xml:space="preserve"> (פורסם במאגרים 25.10.09) שם התייחס בית המשפט העליון למושג ה"אלימות": </w:t>
      </w:r>
    </w:p>
    <w:p w:rsidR="00706622" w:rsidRPr="00706622" w:rsidRDefault="00706622" w:rsidP="00706622">
      <w:pPr>
        <w:spacing w:line="360" w:lineRule="auto"/>
        <w:jc w:val="both"/>
        <w:rPr>
          <w:rFonts w:ascii="Arial" w:hAnsi="Arial"/>
          <w:noProof w:val="0"/>
          <w:rtl/>
        </w:rPr>
      </w:pPr>
    </w:p>
    <w:p w:rsidR="00706622" w:rsidRPr="00706622" w:rsidRDefault="00706622" w:rsidP="00AD66C9">
      <w:pPr>
        <w:spacing w:line="360" w:lineRule="auto"/>
        <w:ind w:left="1134" w:right="567"/>
        <w:jc w:val="both"/>
        <w:rPr>
          <w:rFonts w:ascii="Arial" w:hAnsi="Arial"/>
          <w:noProof w:val="0"/>
          <w:rtl/>
        </w:rPr>
      </w:pPr>
      <w:r w:rsidRPr="00AD66C9">
        <w:rPr>
          <w:rFonts w:ascii="Arial" w:hAnsi="Arial"/>
          <w:b/>
          <w:bCs/>
          <w:noProof w:val="0"/>
          <w:rtl/>
        </w:rPr>
        <w:t>"מנקודת מבטה של תורת המוסר אפשר לטעון, כי בכל עבירה יש מן האלימות. אך במישור המשפטי ברי כי אין המונח אלימות מקיף את שלל המעשים המנויים בדיני העונשין שלנו. יש מבין העבירות הקולעות במובהק לגדריה של התנהגות אלימה, ויש אחרות המצריכות בחינה מעמיקה יותר... אמת, לאלימות פנים רבות. קשת המעשים הבאים בגדרה היא רחבה</w:t>
      </w:r>
      <w:r w:rsidRPr="00706622">
        <w:rPr>
          <w:rFonts w:ascii="Arial" w:hAnsi="Arial"/>
          <w:noProof w:val="0"/>
          <w:rtl/>
        </w:rPr>
        <w:t>"</w:t>
      </w:r>
    </w:p>
    <w:p w:rsidR="00706622" w:rsidRPr="00706622" w:rsidRDefault="00706622" w:rsidP="00706622">
      <w:pPr>
        <w:spacing w:line="360" w:lineRule="auto"/>
        <w:jc w:val="both"/>
        <w:rPr>
          <w:rFonts w:ascii="Arial" w:hAnsi="Arial"/>
          <w:noProof w:val="0"/>
          <w:rtl/>
        </w:rPr>
      </w:pPr>
    </w:p>
    <w:p w:rsidR="00706622" w:rsidRPr="00706622" w:rsidRDefault="00706622" w:rsidP="00706622">
      <w:pPr>
        <w:spacing w:line="360" w:lineRule="auto"/>
        <w:ind w:left="720" w:hanging="720"/>
        <w:jc w:val="both"/>
        <w:rPr>
          <w:rFonts w:ascii="Arial" w:hAnsi="Arial"/>
          <w:noProof w:val="0"/>
          <w:rtl/>
        </w:rPr>
      </w:pPr>
      <w:r w:rsidRPr="00706622">
        <w:rPr>
          <w:rFonts w:ascii="Arial" w:hAnsi="Arial"/>
          <w:noProof w:val="0"/>
          <w:rtl/>
        </w:rPr>
        <w:t>14.</w:t>
      </w:r>
      <w:r w:rsidRPr="00706622">
        <w:rPr>
          <w:rFonts w:ascii="Arial" w:hAnsi="Arial"/>
          <w:noProof w:val="0"/>
          <w:rtl/>
        </w:rPr>
        <w:tab/>
        <w:t xml:space="preserve">בהמשך, בע"פ 7895/04 </w:t>
      </w:r>
      <w:r w:rsidRPr="00AD66C9">
        <w:rPr>
          <w:rFonts w:ascii="Arial" w:hAnsi="Arial"/>
          <w:b/>
          <w:bCs/>
          <w:noProof w:val="0"/>
          <w:rtl/>
        </w:rPr>
        <w:t>פלוני נ' מדינת ישראל</w:t>
      </w:r>
      <w:r w:rsidRPr="00706622">
        <w:rPr>
          <w:rFonts w:ascii="Arial" w:hAnsi="Arial"/>
          <w:noProof w:val="0"/>
          <w:rtl/>
        </w:rPr>
        <w:t xml:space="preserve"> (להלן: "</w:t>
      </w:r>
      <w:r w:rsidRPr="00AD66C9">
        <w:rPr>
          <w:rFonts w:ascii="Arial" w:hAnsi="Arial"/>
          <w:b/>
          <w:bCs/>
          <w:noProof w:val="0"/>
          <w:rtl/>
        </w:rPr>
        <w:t>עניין פלוני</w:t>
      </w:r>
      <w:r w:rsidRPr="00706622">
        <w:rPr>
          <w:rFonts w:ascii="Arial" w:hAnsi="Arial"/>
          <w:noProof w:val="0"/>
          <w:rtl/>
        </w:rPr>
        <w:t>"), נפסק כי יש לבחון עניין זה ע"י שלושה מבחנים. הראשון, עבירה שבין יסודותיה מצוי יסוד של חבלת גוף או אלימות; השני, עבירה שעל פי טיבה ומיונה מסווגים אותה ככזו; והשלישי, עבירה שביצועה בפועל היה כרוך בחבלת גוף או אלימות.</w:t>
      </w:r>
    </w:p>
    <w:p w:rsidR="00706622" w:rsidRPr="00706622" w:rsidRDefault="00706622" w:rsidP="00706622">
      <w:pPr>
        <w:spacing w:line="360" w:lineRule="auto"/>
        <w:jc w:val="both"/>
        <w:rPr>
          <w:rFonts w:ascii="Arial" w:hAnsi="Arial"/>
          <w:noProof w:val="0"/>
          <w:rtl/>
        </w:rPr>
      </w:pPr>
    </w:p>
    <w:p w:rsidR="00706622" w:rsidRPr="00706622" w:rsidRDefault="00706622" w:rsidP="00706622">
      <w:pPr>
        <w:spacing w:line="360" w:lineRule="auto"/>
        <w:ind w:left="720" w:hanging="720"/>
        <w:jc w:val="both"/>
        <w:rPr>
          <w:rFonts w:ascii="Arial" w:hAnsi="Arial"/>
          <w:noProof w:val="0"/>
          <w:rtl/>
        </w:rPr>
      </w:pPr>
      <w:r w:rsidRPr="00706622">
        <w:rPr>
          <w:rFonts w:ascii="Arial" w:hAnsi="Arial"/>
          <w:noProof w:val="0"/>
          <w:rtl/>
        </w:rPr>
        <w:t>15.</w:t>
      </w:r>
      <w:r w:rsidRPr="00706622">
        <w:rPr>
          <w:rFonts w:ascii="Arial" w:hAnsi="Arial"/>
          <w:noProof w:val="0"/>
          <w:rtl/>
        </w:rPr>
        <w:tab/>
        <w:t>בהמשך פסק הדין פורטו מספר עבירות שהוכרו בפסיקה כעבירות אלימות לעניין סעיף 5(א)(1) לפקודת הראיות, ביניהן עבירות הצתה, כליאת שווא, סחיטה, ועבירות הכוללות מעשה של בעילה. עבירות אשר מתאפיינות בכך שהרכיב ההתנהגותי של היסוד העובדתי שלהן כולל מעשה של אלימות נגד הגוף או הרכוש. עבירות אלה נבדלות מהעבירות בהן מואשם המשיב, שכן עבירה של נהיגה בקלות ראש וכן עבירה של אי הגשת עזרה לנפגע בתאונה, אינן מעשה של אלימות נגד גוף, אלא מעשה שיש בו סיכון לאלימות, וכן מעשה שבא לאחר פגיעה בגוף.</w:t>
      </w:r>
    </w:p>
    <w:p w:rsidR="00706622" w:rsidRPr="00706622" w:rsidRDefault="00706622" w:rsidP="00706622">
      <w:pPr>
        <w:spacing w:line="360" w:lineRule="auto"/>
        <w:jc w:val="both"/>
        <w:rPr>
          <w:rFonts w:ascii="Arial" w:hAnsi="Arial"/>
          <w:noProof w:val="0"/>
          <w:rtl/>
        </w:rPr>
      </w:pPr>
    </w:p>
    <w:p w:rsidR="00706622" w:rsidRPr="00706622" w:rsidRDefault="00706622" w:rsidP="00706622">
      <w:pPr>
        <w:spacing w:line="360" w:lineRule="auto"/>
        <w:ind w:left="720" w:hanging="720"/>
        <w:jc w:val="both"/>
        <w:rPr>
          <w:rFonts w:ascii="Arial" w:hAnsi="Arial"/>
          <w:noProof w:val="0"/>
          <w:rtl/>
        </w:rPr>
      </w:pPr>
      <w:r w:rsidRPr="00706622">
        <w:rPr>
          <w:rFonts w:ascii="Arial" w:hAnsi="Arial"/>
          <w:noProof w:val="0"/>
          <w:rtl/>
        </w:rPr>
        <w:t>16.</w:t>
      </w:r>
      <w:r w:rsidRPr="00706622">
        <w:rPr>
          <w:rFonts w:ascii="Arial" w:hAnsi="Arial"/>
          <w:noProof w:val="0"/>
          <w:rtl/>
        </w:rPr>
        <w:tab/>
        <w:t>המונח "אלימות" במשפט אכן פורש בהרחבה אך הוא תלוי הקשר. בעבירות תעבורה, אשר לא כוללות בתוכן מאפיין מובהק של אלימות, הפסיקה פרשה את המונח בכפוף וכתלות בנסיבות.</w:t>
      </w:r>
    </w:p>
    <w:p w:rsidR="00706622" w:rsidRPr="00706622" w:rsidRDefault="00706622" w:rsidP="00706622">
      <w:pPr>
        <w:spacing w:line="360" w:lineRule="auto"/>
        <w:jc w:val="both"/>
        <w:rPr>
          <w:rFonts w:ascii="Arial" w:hAnsi="Arial"/>
          <w:noProof w:val="0"/>
          <w:rtl/>
        </w:rPr>
      </w:pPr>
    </w:p>
    <w:p w:rsidR="00706622" w:rsidRPr="00706622" w:rsidRDefault="00706622" w:rsidP="00706622">
      <w:pPr>
        <w:spacing w:line="360" w:lineRule="auto"/>
        <w:ind w:left="720" w:hanging="720"/>
        <w:jc w:val="both"/>
        <w:rPr>
          <w:rFonts w:ascii="Arial" w:hAnsi="Arial"/>
          <w:noProof w:val="0"/>
          <w:rtl/>
        </w:rPr>
      </w:pPr>
      <w:r w:rsidRPr="00706622">
        <w:rPr>
          <w:rFonts w:ascii="Arial" w:hAnsi="Arial"/>
          <w:noProof w:val="0"/>
          <w:rtl/>
        </w:rPr>
        <w:t>17.</w:t>
      </w:r>
      <w:r w:rsidRPr="00706622">
        <w:rPr>
          <w:rFonts w:ascii="Arial" w:hAnsi="Arial"/>
          <w:noProof w:val="0"/>
          <w:rtl/>
        </w:rPr>
        <w:tab/>
        <w:t xml:space="preserve">בע"פ 308/06 </w:t>
      </w:r>
      <w:r w:rsidRPr="00B60840">
        <w:rPr>
          <w:rFonts w:ascii="Arial" w:hAnsi="Arial"/>
          <w:b/>
          <w:bCs/>
          <w:noProof w:val="0"/>
          <w:rtl/>
        </w:rPr>
        <w:t>מדינת ישראל נגד יונתן סבן</w:t>
      </w:r>
      <w:r w:rsidRPr="00706622">
        <w:rPr>
          <w:rFonts w:ascii="Arial" w:hAnsi="Arial"/>
          <w:noProof w:val="0"/>
          <w:rtl/>
        </w:rPr>
        <w:t xml:space="preserve"> (פורסם במאגרים 15.5.06) נדונה סוגיה של תחולת מאסר מותנה בו עבירת התנאי הוגדרה כעבירת אלימות ואילו העבירה המפעילה הייתה עבירה של סיכון חיי אדם בנתיב תחבורה. בית המשפט העליון מצא להחיל את המאסר המותנה תוך שהבהיר כי: </w:t>
      </w:r>
    </w:p>
    <w:p w:rsidR="00706622" w:rsidRPr="00706622" w:rsidRDefault="00706622" w:rsidP="00706622">
      <w:pPr>
        <w:spacing w:line="360" w:lineRule="auto"/>
        <w:jc w:val="both"/>
        <w:rPr>
          <w:rFonts w:ascii="Arial" w:hAnsi="Arial"/>
          <w:noProof w:val="0"/>
          <w:rtl/>
        </w:rPr>
      </w:pPr>
    </w:p>
    <w:p w:rsidR="00706622" w:rsidRPr="00706622" w:rsidRDefault="00706622" w:rsidP="00B60840">
      <w:pPr>
        <w:spacing w:line="360" w:lineRule="auto"/>
        <w:ind w:left="1134" w:right="567"/>
        <w:jc w:val="both"/>
        <w:rPr>
          <w:rFonts w:ascii="Arial" w:hAnsi="Arial"/>
          <w:noProof w:val="0"/>
          <w:rtl/>
        </w:rPr>
      </w:pPr>
      <w:r w:rsidRPr="00706622">
        <w:rPr>
          <w:rFonts w:ascii="Arial" w:hAnsi="Arial"/>
          <w:noProof w:val="0"/>
          <w:rtl/>
        </w:rPr>
        <w:t>"</w:t>
      </w:r>
      <w:r w:rsidRPr="00B60840">
        <w:rPr>
          <w:rFonts w:ascii="Arial" w:hAnsi="Arial"/>
          <w:b/>
          <w:bCs/>
          <w:noProof w:val="0"/>
          <w:rtl/>
        </w:rPr>
        <w:t>הגדרת עבירת התנאי כ'עבירת אלימות' הינה הגדרה רחבה הכוללת בתוכה כל עבירה שעניינה איסור על פגיעת גוף האדם... השימוש בכלי רכב כמתואר ביסודות העבירה כרוך באלימות במובן זה שהוא כורך סיכון לחיי בני-אדם ושלמות גופם. ברי, כי אדם המסכן במזיד את בטיחותו ושלומו של המשתמש בנתיב תחבורה נוהג התנהגות אלימה כלפיו אגב השימוש ברכב, והוא מבצע בכך עבירת אלימות על פי תוכנו ומהותו של מושג זה".</w:t>
      </w:r>
    </w:p>
    <w:p w:rsidR="00706622" w:rsidRPr="00706622" w:rsidRDefault="00706622" w:rsidP="00706622">
      <w:pPr>
        <w:spacing w:line="360" w:lineRule="auto"/>
        <w:jc w:val="both"/>
        <w:rPr>
          <w:rFonts w:ascii="Arial" w:hAnsi="Arial"/>
          <w:noProof w:val="0"/>
          <w:rtl/>
        </w:rPr>
      </w:pPr>
    </w:p>
    <w:p w:rsidR="00706622" w:rsidRPr="00706622" w:rsidRDefault="00706622" w:rsidP="00706622">
      <w:pPr>
        <w:spacing w:line="360" w:lineRule="auto"/>
        <w:ind w:left="720" w:hanging="720"/>
        <w:jc w:val="both"/>
        <w:rPr>
          <w:rFonts w:ascii="Arial" w:hAnsi="Arial"/>
          <w:noProof w:val="0"/>
          <w:rtl/>
        </w:rPr>
      </w:pPr>
      <w:r w:rsidRPr="00706622">
        <w:rPr>
          <w:rFonts w:ascii="Arial" w:hAnsi="Arial"/>
          <w:noProof w:val="0"/>
          <w:rtl/>
        </w:rPr>
        <w:t>18.</w:t>
      </w:r>
      <w:r w:rsidRPr="00706622">
        <w:rPr>
          <w:rFonts w:ascii="Arial" w:hAnsi="Arial"/>
          <w:noProof w:val="0"/>
          <w:rtl/>
        </w:rPr>
        <w:tab/>
        <w:t>המבחן הוא לא מבחן טכני של בחינת יסודות העבירה אלא הוא מבחן מהותי. כך בכלל, וכך גם מקום בו נקבע כי אלימות יכולה לבוא לידי ביטוי גם כאשר מדובר בהתנהגות שיוצרת אך סיכון או פוטנציאל לפגיעה בחיי אדם או בשלומו.</w:t>
      </w:r>
    </w:p>
    <w:p w:rsidR="00706622" w:rsidRPr="00706622" w:rsidRDefault="00706622" w:rsidP="00706622">
      <w:pPr>
        <w:spacing w:line="360" w:lineRule="auto"/>
        <w:jc w:val="both"/>
        <w:rPr>
          <w:rFonts w:ascii="Arial" w:hAnsi="Arial"/>
          <w:noProof w:val="0"/>
          <w:rtl/>
        </w:rPr>
      </w:pPr>
    </w:p>
    <w:p w:rsidR="00706622" w:rsidRPr="00706622" w:rsidRDefault="00706622" w:rsidP="00706622">
      <w:pPr>
        <w:spacing w:line="360" w:lineRule="auto"/>
        <w:ind w:left="720" w:hanging="720"/>
        <w:jc w:val="both"/>
        <w:rPr>
          <w:rFonts w:ascii="Arial" w:hAnsi="Arial"/>
          <w:noProof w:val="0"/>
          <w:rtl/>
        </w:rPr>
      </w:pPr>
      <w:r w:rsidRPr="00706622">
        <w:rPr>
          <w:rFonts w:ascii="Arial" w:hAnsi="Arial"/>
          <w:noProof w:val="0"/>
          <w:rtl/>
        </w:rPr>
        <w:t>19.</w:t>
      </w:r>
      <w:r w:rsidRPr="00706622">
        <w:rPr>
          <w:rFonts w:ascii="Arial" w:hAnsi="Arial"/>
          <w:noProof w:val="0"/>
          <w:rtl/>
        </w:rPr>
        <w:tab/>
        <w:t xml:space="preserve">בע"פ 1894/14 </w:t>
      </w:r>
      <w:r w:rsidRPr="00B60840">
        <w:rPr>
          <w:rFonts w:ascii="Arial" w:hAnsi="Arial"/>
          <w:b/>
          <w:bCs/>
          <w:noProof w:val="0"/>
          <w:rtl/>
        </w:rPr>
        <w:t>אנדרג'או גבריאל צ'אקול נ' מדינת ישראל</w:t>
      </w:r>
      <w:r w:rsidRPr="00706622">
        <w:rPr>
          <w:rFonts w:ascii="Arial" w:hAnsi="Arial"/>
          <w:noProof w:val="0"/>
          <w:rtl/>
        </w:rPr>
        <w:t>, קבע בית המשפט העליון כי עבירה של הריגה בתאונת דרכים, שהתרחשה תוך כדי נהיגה בשכרות ובמהירות מופרזת, והביאה למותו של אדם, ניתן להגדירה כעבירת אלימות על אף שאינה עונה לתנאים הטכניים של עבירת אלימות אך מבחינה מהותית הסיכון הרב שיצר הנאשם והתממשותו מגיעים כדי עבירת אלימות:</w:t>
      </w:r>
    </w:p>
    <w:p w:rsidR="00706622" w:rsidRPr="00706622" w:rsidRDefault="00706622" w:rsidP="00706622">
      <w:pPr>
        <w:spacing w:line="360" w:lineRule="auto"/>
        <w:jc w:val="both"/>
        <w:rPr>
          <w:rFonts w:ascii="Arial" w:hAnsi="Arial"/>
          <w:noProof w:val="0"/>
          <w:rtl/>
        </w:rPr>
      </w:pPr>
    </w:p>
    <w:p w:rsidR="00706622" w:rsidRPr="00B60840" w:rsidRDefault="00706622" w:rsidP="00B60840">
      <w:pPr>
        <w:spacing w:line="360" w:lineRule="auto"/>
        <w:ind w:left="1134" w:right="567"/>
        <w:jc w:val="both"/>
        <w:rPr>
          <w:rFonts w:ascii="Arial" w:hAnsi="Arial"/>
          <w:b/>
          <w:bCs/>
          <w:noProof w:val="0"/>
          <w:rtl/>
        </w:rPr>
      </w:pPr>
      <w:r w:rsidRPr="00B60840">
        <w:rPr>
          <w:rFonts w:ascii="Arial" w:hAnsi="Arial"/>
          <w:b/>
          <w:bCs/>
          <w:noProof w:val="0"/>
          <w:rtl/>
        </w:rPr>
        <w:t xml:space="preserve">"במקרה שלפנינו, המערער העמיד מספר חיי אדם בסיכון שעה שנכנס לרכבו כשהוא שיכור ועייף. כפי שנפסק בעניין סבן, הגדרת עבירת התנאי כ"עבירת אלימות" היא הגדרה רחבה הכוללת בתוכה כל עבירה שעניינה איסור על פגיעה בחיי אדם (שם, בפסקה 7). כך, בעניין סבן, עבירת סיכון חיי אדם בנתיבי תחבורה, לפי סעיף 332(2) לחוק העונשין נקבעה כעבירת אלימות המפעילה את המאסר המותנה (שם). בענייננו, אמנם מדובר בעבירה שונה, של נהיגה תחת השפעת משקאות משכרים לפי סעיף 62(3) ו-64ב (א)(3)+(4) לפקודה, אשר ביסודותיה הטכניים אינה מגלה יסוד של אלימות, אולם במובנה המהותי משמעותה העמדת חיי אדם בסיכון. לצערנו, במקרה שלפנינו, הסיכון התממש ואכן חיי אדם נקטלו, ובהתאם המערער הואשם והורשע בעבירת הריגה לפי סעיף 298 לחוק העונשין. הסיכון הרב במעשיו של </w:t>
      </w:r>
      <w:r w:rsidRPr="00B60840">
        <w:rPr>
          <w:rFonts w:ascii="Arial" w:hAnsi="Arial"/>
          <w:b/>
          <w:bCs/>
          <w:noProof w:val="0"/>
          <w:rtl/>
        </w:rPr>
        <w:lastRenderedPageBreak/>
        <w:t>המערער אשר הסתברותם לפגיעה בחיי אדם גבוהה מחייב הכרה במעשיו כמעשי אלימות המקימים "עבירת אלימות" ואשר מפעילים את המאסר המותנה שהוטל על המערער בתיק קודם."</w:t>
      </w:r>
    </w:p>
    <w:p w:rsidR="00706622" w:rsidRPr="00706622" w:rsidRDefault="00706622" w:rsidP="00706622">
      <w:pPr>
        <w:spacing w:line="360" w:lineRule="auto"/>
        <w:jc w:val="both"/>
        <w:rPr>
          <w:rFonts w:ascii="Arial" w:hAnsi="Arial"/>
          <w:noProof w:val="0"/>
          <w:rtl/>
        </w:rPr>
      </w:pPr>
    </w:p>
    <w:p w:rsidR="00706622" w:rsidRPr="00706622" w:rsidRDefault="0050024D" w:rsidP="00706622">
      <w:pPr>
        <w:spacing w:line="360" w:lineRule="auto"/>
        <w:ind w:left="720" w:hanging="720"/>
        <w:jc w:val="both"/>
        <w:rPr>
          <w:rFonts w:ascii="Arial" w:hAnsi="Arial"/>
          <w:noProof w:val="0"/>
          <w:rtl/>
        </w:rPr>
      </w:pPr>
      <w:r>
        <w:rPr>
          <w:rFonts w:ascii="Arial" w:hAnsi="Arial"/>
          <w:noProof w:val="0"/>
          <w:rtl/>
        </w:rPr>
        <w:t>20.</w:t>
      </w:r>
      <w:r>
        <w:rPr>
          <w:rFonts w:ascii="Arial" w:hAnsi="Arial"/>
          <w:noProof w:val="0"/>
          <w:rtl/>
        </w:rPr>
        <w:tab/>
        <w:t>כהקשה לעניינ</w:t>
      </w:r>
      <w:r w:rsidR="00706622" w:rsidRPr="00706622">
        <w:rPr>
          <w:rFonts w:ascii="Arial" w:hAnsi="Arial"/>
          <w:noProof w:val="0"/>
          <w:rtl/>
        </w:rPr>
        <w:t>נו, מבחינת יסודות העבירה וכן ביצועה בפועל (המבחנים הראשון והשני לפי עניין פלוני), עבירת נהיגה בקלות ראש או אי הגשת עזרה לנפגע בתאונה</w:t>
      </w:r>
      <w:r>
        <w:rPr>
          <w:rFonts w:ascii="Arial" w:hAnsi="Arial" w:hint="cs"/>
          <w:noProof w:val="0"/>
          <w:rtl/>
        </w:rPr>
        <w:t>,</w:t>
      </w:r>
      <w:r w:rsidR="00706622" w:rsidRPr="00706622">
        <w:rPr>
          <w:rFonts w:ascii="Arial" w:hAnsi="Arial"/>
          <w:noProof w:val="0"/>
          <w:rtl/>
        </w:rPr>
        <w:t xml:space="preserve"> אינן נכנסות בגדר הגדרת אלימות או חבלת גוף, אולם, הסיכון במעשיו של הנאשם, בכך שעל פי כתב האישום נהג בקלות ראש תוך מהירות מופרזת וכתוצאה מכך התהפך רכבו וגרם לנזק, הרי שיש בהתנהגות זו סיכון או פוטנציאל בפגיעה בחיי אדם ושלמות גופם, ומכאן שיכולים להיכלל תחת הגדרת "אלימות".</w:t>
      </w:r>
    </w:p>
    <w:p w:rsidR="00706622" w:rsidRPr="00706622" w:rsidRDefault="00706622" w:rsidP="00706622">
      <w:pPr>
        <w:spacing w:line="360" w:lineRule="auto"/>
        <w:jc w:val="both"/>
        <w:rPr>
          <w:rFonts w:ascii="Arial" w:hAnsi="Arial"/>
          <w:noProof w:val="0"/>
          <w:rtl/>
        </w:rPr>
      </w:pPr>
    </w:p>
    <w:p w:rsidR="00706622" w:rsidRPr="00706622" w:rsidRDefault="00706622" w:rsidP="00706622">
      <w:pPr>
        <w:spacing w:line="360" w:lineRule="auto"/>
        <w:ind w:left="720" w:hanging="720"/>
        <w:jc w:val="both"/>
        <w:rPr>
          <w:rFonts w:ascii="Arial" w:hAnsi="Arial"/>
          <w:noProof w:val="0"/>
          <w:rtl/>
        </w:rPr>
      </w:pPr>
      <w:r w:rsidRPr="00706622">
        <w:rPr>
          <w:rFonts w:ascii="Arial" w:hAnsi="Arial"/>
          <w:noProof w:val="0"/>
          <w:rtl/>
        </w:rPr>
        <w:t>21.</w:t>
      </w:r>
      <w:r w:rsidRPr="00706622">
        <w:rPr>
          <w:rFonts w:ascii="Arial" w:hAnsi="Arial"/>
          <w:noProof w:val="0"/>
          <w:rtl/>
        </w:rPr>
        <w:tab/>
        <w:t>בנוסף, בנוגע לעבירת אי הגשת עזרה לנפגע בתאונה, כיוון שתנאי להתקיימות העבירה, הוא קיומה של תאונת דרכים בה נפגע אדם – ובמקרה זה, אשת הנאשם – הרי שניתן לקבוע כי משפטו של הנאשם שלפניי הוא משפט שעניינו גם "חבלת גוף".</w:t>
      </w:r>
    </w:p>
    <w:p w:rsidR="00706622" w:rsidRPr="00706622" w:rsidRDefault="00706622" w:rsidP="00706622">
      <w:pPr>
        <w:spacing w:line="360" w:lineRule="auto"/>
        <w:jc w:val="both"/>
        <w:rPr>
          <w:rFonts w:ascii="Arial" w:hAnsi="Arial"/>
          <w:noProof w:val="0"/>
          <w:rtl/>
        </w:rPr>
      </w:pPr>
    </w:p>
    <w:p w:rsidR="00706622" w:rsidRPr="00706622" w:rsidRDefault="00706622" w:rsidP="00706622">
      <w:pPr>
        <w:spacing w:line="360" w:lineRule="auto"/>
        <w:ind w:left="720" w:hanging="720"/>
        <w:jc w:val="both"/>
        <w:rPr>
          <w:rFonts w:ascii="Arial" w:hAnsi="Arial"/>
          <w:noProof w:val="0"/>
          <w:rtl/>
        </w:rPr>
      </w:pPr>
      <w:r w:rsidRPr="00706622">
        <w:rPr>
          <w:rFonts w:ascii="Arial" w:hAnsi="Arial"/>
          <w:noProof w:val="0"/>
          <w:rtl/>
        </w:rPr>
        <w:t>22.</w:t>
      </w:r>
      <w:r w:rsidRPr="00706622">
        <w:rPr>
          <w:rFonts w:ascii="Arial" w:hAnsi="Arial"/>
          <w:noProof w:val="0"/>
          <w:rtl/>
        </w:rPr>
        <w:tab/>
        <w:t>לא זו אף זו, מבחינה טכנית, העבירה של אי הגשת עזרה לנפגע בתאונה, עונה על המבחן הראשון, שכן פגיעה בגוף או בנפש של אדם בתאונה היא חלק מיסודות העבירה. אמנם היא חלק מהרכיב הנסיבתי של היסוד העובדתי ולא חלק של הרכיב ההתנהגותי, אולם, היא חלק מיסודות העבירה. עבירה זו באה בגדרו גם של המבחן השלישי שכן הגדרת העבירה מחייבת שהנאשם היה מעורב בתאונה שבה נגרמה פגיעה לאדם – גם אם לא על ידי הנאשם – ומכאן שמדובר בעבירה שביצועה, במובן של אופן התרחשות העבירה בפועל, היה כרוך בפגיעה באדם.</w:t>
      </w:r>
    </w:p>
    <w:p w:rsidR="00706622" w:rsidRPr="00706622" w:rsidRDefault="00706622" w:rsidP="00706622">
      <w:pPr>
        <w:spacing w:line="360" w:lineRule="auto"/>
        <w:jc w:val="both"/>
        <w:rPr>
          <w:rFonts w:ascii="Arial" w:hAnsi="Arial"/>
          <w:noProof w:val="0"/>
          <w:rtl/>
        </w:rPr>
      </w:pPr>
    </w:p>
    <w:p w:rsidR="00706622" w:rsidRPr="00706622" w:rsidRDefault="00706622" w:rsidP="00706622">
      <w:pPr>
        <w:spacing w:line="360" w:lineRule="auto"/>
        <w:ind w:left="720" w:hanging="720"/>
        <w:jc w:val="both"/>
        <w:rPr>
          <w:rFonts w:ascii="Arial" w:hAnsi="Arial"/>
          <w:noProof w:val="0"/>
          <w:rtl/>
        </w:rPr>
      </w:pPr>
      <w:r w:rsidRPr="00706622">
        <w:rPr>
          <w:rFonts w:ascii="Arial" w:hAnsi="Arial"/>
          <w:noProof w:val="0"/>
          <w:rtl/>
        </w:rPr>
        <w:t>23.</w:t>
      </w:r>
      <w:r w:rsidRPr="00706622">
        <w:rPr>
          <w:rFonts w:ascii="Arial" w:hAnsi="Arial"/>
          <w:noProof w:val="0"/>
          <w:rtl/>
        </w:rPr>
        <w:tab/>
        <w:t xml:space="preserve">בעניין זה, י' קדמי, בספרו </w:t>
      </w:r>
      <w:r w:rsidRPr="002F3A31">
        <w:rPr>
          <w:rFonts w:ascii="Arial" w:hAnsi="Arial"/>
          <w:b/>
          <w:bCs/>
          <w:noProof w:val="0"/>
          <w:rtl/>
        </w:rPr>
        <w:t>על הראיות</w:t>
      </w:r>
      <w:r w:rsidRPr="00706622">
        <w:rPr>
          <w:rFonts w:ascii="Arial" w:hAnsi="Arial"/>
          <w:noProof w:val="0"/>
          <w:rtl/>
        </w:rPr>
        <w:t>, חלק ראשון, 2004, עמ' 398, מציין כי המבחן להיותה של עבירת חבלה או אלימות, הוא תוצאתי. כל עבירה שתוצאתה פגיעה בגוף, גם אם אין מדובר בחבלה מכוונת אלא בחבלה שנגרמה ברשלנות, עולה בגדר החריג הקבוע בסעיף 5(1) לפקודת הראיות.</w:t>
      </w:r>
    </w:p>
    <w:p w:rsidR="00706622" w:rsidRPr="00706622" w:rsidRDefault="00706622" w:rsidP="00706622">
      <w:pPr>
        <w:spacing w:line="360" w:lineRule="auto"/>
        <w:jc w:val="both"/>
        <w:rPr>
          <w:rFonts w:ascii="Arial" w:hAnsi="Arial"/>
          <w:noProof w:val="0"/>
          <w:rtl/>
        </w:rPr>
      </w:pPr>
    </w:p>
    <w:p w:rsidR="00706622" w:rsidRPr="00706622" w:rsidRDefault="00706622" w:rsidP="00706622">
      <w:pPr>
        <w:spacing w:line="360" w:lineRule="auto"/>
        <w:ind w:left="720" w:hanging="720"/>
        <w:jc w:val="both"/>
        <w:rPr>
          <w:rFonts w:ascii="Arial" w:hAnsi="Arial"/>
          <w:noProof w:val="0"/>
          <w:rtl/>
        </w:rPr>
      </w:pPr>
      <w:r w:rsidRPr="00706622">
        <w:rPr>
          <w:rFonts w:ascii="Arial" w:hAnsi="Arial"/>
          <w:noProof w:val="0"/>
          <w:rtl/>
        </w:rPr>
        <w:t>24.</w:t>
      </w:r>
      <w:r w:rsidRPr="00706622">
        <w:rPr>
          <w:rFonts w:ascii="Arial" w:hAnsi="Arial"/>
          <w:noProof w:val="0"/>
          <w:rtl/>
        </w:rPr>
        <w:tab/>
        <w:t>למעלה מן הצורך אוסיף כי ההגנה לא הופתעה ולא נבצר ממנה להכין את הגנתה כנדרש, לאור העובדה כי העדת אשת הנאשם הועלתה לדיון עוד מיום 16.11.22, כפי שפורט בחלק המקדמי להחלטה זו, וכל המסמכים הקשורים אליה הועברו לידי ההגנה מראשית הימים.</w:t>
      </w:r>
    </w:p>
    <w:p w:rsidR="00706622" w:rsidRPr="00706622" w:rsidRDefault="00706622" w:rsidP="00706622">
      <w:pPr>
        <w:spacing w:line="360" w:lineRule="auto"/>
        <w:jc w:val="both"/>
        <w:rPr>
          <w:rFonts w:ascii="Arial" w:hAnsi="Arial"/>
          <w:noProof w:val="0"/>
          <w:rtl/>
        </w:rPr>
      </w:pPr>
    </w:p>
    <w:p w:rsidR="00706622" w:rsidRPr="00706622" w:rsidRDefault="00706622" w:rsidP="00706622">
      <w:pPr>
        <w:spacing w:line="360" w:lineRule="auto"/>
        <w:jc w:val="both"/>
        <w:rPr>
          <w:rFonts w:ascii="Arial" w:hAnsi="Arial"/>
          <w:noProof w:val="0"/>
          <w:rtl/>
        </w:rPr>
      </w:pPr>
      <w:r w:rsidRPr="00706622">
        <w:rPr>
          <w:rFonts w:ascii="Arial" w:hAnsi="Arial"/>
          <w:noProof w:val="0"/>
          <w:rtl/>
        </w:rPr>
        <w:t>25.</w:t>
      </w:r>
      <w:r w:rsidRPr="00706622">
        <w:rPr>
          <w:rFonts w:ascii="Arial" w:hAnsi="Arial"/>
          <w:noProof w:val="0"/>
          <w:rtl/>
        </w:rPr>
        <w:tab/>
        <w:t>לאור כל האמור אני מורה כדלקמן:</w:t>
      </w:r>
    </w:p>
    <w:p w:rsidR="00706622" w:rsidRPr="00706622" w:rsidRDefault="00706622" w:rsidP="00706622">
      <w:pPr>
        <w:spacing w:line="360" w:lineRule="auto"/>
        <w:jc w:val="both"/>
        <w:rPr>
          <w:rFonts w:ascii="Arial" w:hAnsi="Arial"/>
          <w:b/>
          <w:bCs/>
          <w:noProof w:val="0"/>
          <w:rtl/>
        </w:rPr>
      </w:pPr>
    </w:p>
    <w:p w:rsidR="00706622" w:rsidRPr="00706622" w:rsidRDefault="00706622" w:rsidP="002F3A31">
      <w:pPr>
        <w:spacing w:line="360" w:lineRule="auto"/>
        <w:ind w:left="720" w:hanging="720"/>
        <w:jc w:val="both"/>
        <w:rPr>
          <w:rFonts w:ascii="Arial" w:hAnsi="Arial"/>
          <w:b/>
          <w:bCs/>
          <w:noProof w:val="0"/>
          <w:rtl/>
        </w:rPr>
      </w:pPr>
      <w:r w:rsidRPr="00706622">
        <w:rPr>
          <w:rFonts w:ascii="Arial" w:hAnsi="Arial"/>
          <w:b/>
          <w:bCs/>
          <w:noProof w:val="0"/>
          <w:rtl/>
        </w:rPr>
        <w:lastRenderedPageBreak/>
        <w:t>א.</w:t>
      </w:r>
      <w:r w:rsidRPr="00706622">
        <w:rPr>
          <w:rFonts w:ascii="Arial" w:hAnsi="Arial"/>
          <w:b/>
          <w:bCs/>
          <w:noProof w:val="0"/>
          <w:rtl/>
        </w:rPr>
        <w:tab/>
        <w:t xml:space="preserve">אני נעתרת לבקשה להעיד את אשת הנאשם, עדת תביעה </w:t>
      </w:r>
      <w:r w:rsidR="002F3A31">
        <w:rPr>
          <w:rFonts w:ascii="Arial" w:hAnsi="Arial"/>
          <w:b/>
          <w:bCs/>
          <w:noProof w:val="0"/>
          <w:rtl/>
        </w:rPr>
        <w:t>מס' 21.</w:t>
      </w:r>
      <w:r w:rsidRPr="00706622">
        <w:rPr>
          <w:rFonts w:ascii="Arial" w:hAnsi="Arial"/>
          <w:b/>
          <w:bCs/>
          <w:noProof w:val="0"/>
          <w:rtl/>
        </w:rPr>
        <w:t xml:space="preserve"> מועד דיון לזימון העדה ע"י המאשימה י</w:t>
      </w:r>
      <w:r w:rsidR="002F3A31">
        <w:rPr>
          <w:rFonts w:ascii="Arial" w:hAnsi="Arial" w:hint="cs"/>
          <w:b/>
          <w:bCs/>
          <w:noProof w:val="0"/>
          <w:rtl/>
        </w:rPr>
        <w:t>י</w:t>
      </w:r>
      <w:r w:rsidRPr="00706622">
        <w:rPr>
          <w:rFonts w:ascii="Arial" w:hAnsi="Arial"/>
          <w:b/>
          <w:bCs/>
          <w:noProof w:val="0"/>
          <w:rtl/>
        </w:rPr>
        <w:t>קבע בדיון ביום 22</w:t>
      </w:r>
      <w:r w:rsidR="002F3A31">
        <w:rPr>
          <w:rFonts w:ascii="Arial" w:hAnsi="Arial" w:hint="cs"/>
          <w:b/>
          <w:bCs/>
          <w:noProof w:val="0"/>
          <w:rtl/>
        </w:rPr>
        <w:t>.</w:t>
      </w:r>
      <w:r w:rsidRPr="00706622">
        <w:rPr>
          <w:rFonts w:ascii="Arial" w:hAnsi="Arial"/>
          <w:b/>
          <w:bCs/>
          <w:noProof w:val="0"/>
          <w:rtl/>
        </w:rPr>
        <w:t>5</w:t>
      </w:r>
      <w:r w:rsidR="002F3A31">
        <w:rPr>
          <w:rFonts w:ascii="Arial" w:hAnsi="Arial" w:hint="cs"/>
          <w:b/>
          <w:bCs/>
          <w:noProof w:val="0"/>
          <w:rtl/>
        </w:rPr>
        <w:t>.</w:t>
      </w:r>
      <w:r w:rsidRPr="00706622">
        <w:rPr>
          <w:rFonts w:ascii="Arial" w:hAnsi="Arial"/>
          <w:b/>
          <w:bCs/>
          <w:noProof w:val="0"/>
          <w:rtl/>
        </w:rPr>
        <w:t>23.</w:t>
      </w:r>
    </w:p>
    <w:p w:rsidR="002F3A31" w:rsidRDefault="002F3A31" w:rsidP="002F3A31">
      <w:pPr>
        <w:spacing w:line="360" w:lineRule="auto"/>
        <w:jc w:val="both"/>
        <w:rPr>
          <w:rFonts w:ascii="Arial" w:hAnsi="Arial"/>
          <w:b/>
          <w:bCs/>
          <w:noProof w:val="0"/>
          <w:rtl/>
        </w:rPr>
      </w:pPr>
    </w:p>
    <w:p w:rsidR="00706622" w:rsidRPr="00706622" w:rsidRDefault="00706622" w:rsidP="002F3A31">
      <w:pPr>
        <w:spacing w:line="360" w:lineRule="auto"/>
        <w:jc w:val="both"/>
        <w:rPr>
          <w:rFonts w:ascii="Arial" w:hAnsi="Arial"/>
          <w:b/>
          <w:bCs/>
          <w:noProof w:val="0"/>
          <w:rtl/>
        </w:rPr>
      </w:pPr>
      <w:r w:rsidRPr="00706622">
        <w:rPr>
          <w:rFonts w:ascii="Arial" w:hAnsi="Arial"/>
          <w:b/>
          <w:bCs/>
          <w:noProof w:val="0"/>
          <w:rtl/>
        </w:rPr>
        <w:t>ב.</w:t>
      </w:r>
      <w:r w:rsidRPr="00706622">
        <w:rPr>
          <w:rFonts w:ascii="Arial" w:hAnsi="Arial"/>
          <w:b/>
          <w:bCs/>
          <w:noProof w:val="0"/>
          <w:rtl/>
        </w:rPr>
        <w:tab/>
        <w:t>אין מקום להשתת הוצאות על המאשימה בגין בקשה זו</w:t>
      </w:r>
      <w:r w:rsidR="002F3A31">
        <w:rPr>
          <w:rFonts w:ascii="Arial" w:hAnsi="Arial" w:hint="cs"/>
          <w:b/>
          <w:bCs/>
          <w:noProof w:val="0"/>
          <w:rtl/>
        </w:rPr>
        <w:t>,</w:t>
      </w:r>
      <w:r w:rsidRPr="00706622">
        <w:rPr>
          <w:rFonts w:ascii="Arial" w:hAnsi="Arial"/>
          <w:b/>
          <w:bCs/>
          <w:noProof w:val="0"/>
          <w:rtl/>
        </w:rPr>
        <w:t xml:space="preserve"> וההסבר התקבל.</w:t>
      </w:r>
    </w:p>
    <w:p w:rsidR="002F3A31" w:rsidRDefault="002F3A31" w:rsidP="00706622">
      <w:pPr>
        <w:spacing w:line="360" w:lineRule="auto"/>
        <w:ind w:left="720" w:hanging="720"/>
        <w:jc w:val="both"/>
        <w:rPr>
          <w:rFonts w:ascii="Arial" w:hAnsi="Arial"/>
          <w:b/>
          <w:bCs/>
          <w:noProof w:val="0"/>
          <w:rtl/>
        </w:rPr>
      </w:pPr>
    </w:p>
    <w:p w:rsidR="00706622" w:rsidRPr="00706622" w:rsidRDefault="00706622" w:rsidP="002F3A31">
      <w:pPr>
        <w:spacing w:line="360" w:lineRule="auto"/>
        <w:ind w:left="720" w:hanging="720"/>
        <w:jc w:val="both"/>
        <w:rPr>
          <w:rFonts w:ascii="Arial" w:hAnsi="Arial"/>
          <w:b/>
          <w:bCs/>
          <w:noProof w:val="0"/>
          <w:rtl/>
        </w:rPr>
      </w:pPr>
      <w:r w:rsidRPr="00706622">
        <w:rPr>
          <w:rFonts w:ascii="Arial" w:hAnsi="Arial"/>
          <w:b/>
          <w:bCs/>
          <w:noProof w:val="0"/>
          <w:rtl/>
        </w:rPr>
        <w:t>ג.</w:t>
      </w:r>
      <w:r w:rsidRPr="00706622">
        <w:rPr>
          <w:rFonts w:ascii="Arial" w:hAnsi="Arial"/>
          <w:b/>
          <w:bCs/>
          <w:noProof w:val="0"/>
          <w:rtl/>
        </w:rPr>
        <w:tab/>
        <w:t>לדיון הוכחות הקבוע ליום 22</w:t>
      </w:r>
      <w:r w:rsidR="002F3A31">
        <w:rPr>
          <w:rFonts w:ascii="Arial" w:hAnsi="Arial" w:hint="cs"/>
          <w:b/>
          <w:bCs/>
          <w:noProof w:val="0"/>
          <w:rtl/>
        </w:rPr>
        <w:t>.</w:t>
      </w:r>
      <w:r w:rsidRPr="00706622">
        <w:rPr>
          <w:rFonts w:ascii="Arial" w:hAnsi="Arial"/>
          <w:b/>
          <w:bCs/>
          <w:noProof w:val="0"/>
          <w:rtl/>
        </w:rPr>
        <w:t>5</w:t>
      </w:r>
      <w:r w:rsidR="002F3A31">
        <w:rPr>
          <w:rFonts w:ascii="Arial" w:hAnsi="Arial" w:hint="cs"/>
          <w:b/>
          <w:bCs/>
          <w:noProof w:val="0"/>
          <w:rtl/>
        </w:rPr>
        <w:t>.</w:t>
      </w:r>
      <w:r w:rsidRPr="00706622">
        <w:rPr>
          <w:rFonts w:ascii="Arial" w:hAnsi="Arial"/>
          <w:b/>
          <w:bCs/>
          <w:noProof w:val="0"/>
          <w:rtl/>
        </w:rPr>
        <w:t xml:space="preserve">23 בשעה 09:30 יובא הנאשם באמצעות </w:t>
      </w:r>
      <w:r w:rsidRPr="00706622">
        <w:rPr>
          <w:rFonts w:ascii="Arial" w:hAnsi="Arial"/>
          <w:b/>
          <w:bCs/>
          <w:noProof w:val="0"/>
          <w:u w:val="single"/>
          <w:rtl/>
        </w:rPr>
        <w:t>היוועדות חזותית</w:t>
      </w:r>
      <w:r w:rsidRPr="00706622">
        <w:rPr>
          <w:rFonts w:ascii="Arial" w:hAnsi="Arial"/>
          <w:b/>
          <w:bCs/>
          <w:noProof w:val="0"/>
          <w:rtl/>
        </w:rPr>
        <w:t xml:space="preserve"> וזאת לאור הנסיבות בהן </w:t>
      </w:r>
      <w:r w:rsidR="002F3A31" w:rsidRPr="00706622">
        <w:rPr>
          <w:rFonts w:ascii="Arial" w:hAnsi="Arial" w:hint="cs"/>
          <w:b/>
          <w:bCs/>
          <w:noProof w:val="0"/>
          <w:rtl/>
        </w:rPr>
        <w:t>התרתי</w:t>
      </w:r>
      <w:r w:rsidRPr="00706622">
        <w:rPr>
          <w:rFonts w:ascii="Arial" w:hAnsi="Arial"/>
          <w:b/>
          <w:bCs/>
          <w:noProof w:val="0"/>
          <w:rtl/>
        </w:rPr>
        <w:t xml:space="preserve"> עד כה את שמיעת פרשת התביעה בהיוועדות חזותית, בהיות הנאשם טעון הגנה.</w:t>
      </w:r>
    </w:p>
    <w:p w:rsidR="00706622" w:rsidRPr="00706622" w:rsidRDefault="00706622" w:rsidP="00706622">
      <w:pPr>
        <w:spacing w:line="360" w:lineRule="auto"/>
        <w:jc w:val="both"/>
        <w:rPr>
          <w:rFonts w:ascii="Arial" w:hAnsi="Arial"/>
          <w:noProof w:val="0"/>
          <w:rtl/>
        </w:rPr>
      </w:pPr>
    </w:p>
    <w:p w:rsidR="002F3A31" w:rsidRDefault="002F3A31" w:rsidP="00706622">
      <w:pPr>
        <w:spacing w:line="360" w:lineRule="auto"/>
        <w:jc w:val="both"/>
        <w:rPr>
          <w:rFonts w:ascii="Arial" w:hAnsi="Arial"/>
          <w:noProof w:val="0"/>
          <w:rtl/>
        </w:rPr>
      </w:pPr>
    </w:p>
    <w:p w:rsidR="00706622" w:rsidRPr="00706622" w:rsidRDefault="00706622" w:rsidP="00706622">
      <w:pPr>
        <w:spacing w:line="360" w:lineRule="auto"/>
        <w:jc w:val="both"/>
        <w:rPr>
          <w:rFonts w:ascii="Arial" w:hAnsi="Arial"/>
          <w:noProof w:val="0"/>
          <w:rtl/>
        </w:rPr>
      </w:pPr>
      <w:r w:rsidRPr="00706622">
        <w:rPr>
          <w:rFonts w:ascii="Arial" w:hAnsi="Arial"/>
          <w:noProof w:val="0"/>
          <w:rtl/>
        </w:rPr>
        <w:t>המזכירות תודיע לצדדים ולשב"ס.</w:t>
      </w:r>
    </w:p>
    <w:p w:rsidR="00694556" w:rsidRPr="00B95D6E" w:rsidRDefault="00694556" w:rsidP="00706622">
      <w:pPr>
        <w:spacing w:line="360" w:lineRule="auto"/>
        <w:jc w:val="both"/>
        <w:rPr>
          <w:rFonts w:ascii="Arial" w:hAnsi="Arial"/>
          <w:noProof w:val="0"/>
          <w:rtl/>
        </w:rPr>
      </w:pPr>
    </w:p>
    <w:p w:rsidR="00694556" w:rsidRPr="00B95D6E" w:rsidRDefault="00694556" w:rsidP="00706622">
      <w:pPr>
        <w:spacing w:line="360" w:lineRule="auto"/>
        <w:jc w:val="both"/>
        <w:rPr>
          <w:rFonts w:ascii="Arial" w:hAnsi="Arial"/>
          <w:noProof w:val="0"/>
          <w:rtl/>
        </w:rPr>
      </w:pPr>
    </w:p>
    <w:p w:rsidR="00694556" w:rsidRDefault="0043502B" w:rsidP="00706622">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א' סיוון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21 מאי 2023</w:t>
          </w:r>
        </w:sdtContent>
      </w:sdt>
      <w:r w:rsidR="00005C8B">
        <w:rPr>
          <w:rFonts w:ascii="Arial" w:hAnsi="Arial"/>
          <w:noProof w:val="0"/>
          <w:rtl/>
        </w:rPr>
        <w:t>, בהעדר הצדדים.</w:t>
      </w:r>
    </w:p>
    <w:p w:rsidR="00C43648" w:rsidRDefault="003B0618" w:rsidP="00706622">
      <w:pPr>
        <w:tabs>
          <w:tab w:val="left" w:pos="2553"/>
        </w:tabs>
        <w:ind w:left="5040"/>
        <w:jc w:val="both"/>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706622">
      <w:pPr>
        <w:tabs>
          <w:tab w:val="left" w:pos="2553"/>
        </w:tabs>
        <w:jc w:val="both"/>
      </w:pPr>
      <w:r>
        <w:rPr>
          <w:rFonts w:hint="cs"/>
          <w:rtl/>
        </w:rPr>
        <w:tab/>
      </w:r>
      <w:r>
        <w:rPr>
          <w:rFonts w:hint="cs"/>
          <w:rtl/>
        </w:rPr>
        <w:tab/>
      </w:r>
      <w:r>
        <w:rPr>
          <w:rFonts w:hint="cs"/>
          <w:rtl/>
        </w:rPr>
        <w:tab/>
      </w:r>
      <w:r>
        <w:rPr>
          <w:rFonts w:hint="cs"/>
          <w:rtl/>
        </w:rPr>
        <w:tab/>
        <w:t xml:space="preserve">        </w:t>
      </w:r>
      <w:sdt>
        <w:sdtPr>
          <w:rPr>
            <w:rtl/>
          </w:rPr>
          <w:alias w:val="MergeField"/>
          <w:tag w:val="1237"/>
          <w:id w:val="1096222459"/>
        </w:sdtPr>
        <w:sdtEndPr/>
        <w:sdtContent>
          <w:r w:rsidR="00B62301">
            <w:drawing>
              <wp:inline distT="0" distB="0" distL="0" distR="0" wp14:editId="50D07946">
                <wp:extent cx="1457325"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457325" cy="704850"/>
                        </a:xfrm>
                        <a:prstGeom prst="rect">
                          <a:avLst/>
                        </a:prstGeom>
                      </pic:spPr>
                    </pic:pic>
                  </a:graphicData>
                </a:graphic>
              </wp:inline>
            </w:drawing>
          </w:r>
        </w:sdtContent>
      </w:sdt>
    </w:p>
    <w:p w:rsidR="00694556" w:rsidRDefault="00694556" w:rsidP="00706622">
      <w:pPr>
        <w:tabs>
          <w:tab w:val="left" w:pos="2553"/>
        </w:tabs>
        <w:jc w:val="both"/>
        <w:rPr>
          <w:rFonts w:ascii="Arial" w:hAnsi="Arial"/>
          <w:noProof w:val="0"/>
          <w:rtl/>
        </w:rPr>
      </w:pPr>
    </w:p>
    <w:sectPr w:rsidR="00694556" w:rsidSect="00891F42">
      <w:headerReference w:type="default" r:id="rId8"/>
      <w:footerReference w:type="default" r:id="rId9"/>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0618" w:rsidRDefault="003B0618">
      <w:r>
        <w:separator/>
      </w:r>
    </w:p>
  </w:endnote>
  <w:endnote w:type="continuationSeparator" w:id="0">
    <w:p w:rsidR="003B0618" w:rsidRDefault="003B0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C7E3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C7E37">
      <w:rPr>
        <w:rStyle w:val="ab"/>
        <w:rtl/>
      </w:rPr>
      <w:t>6</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0618" w:rsidRDefault="003B0618">
      <w:r>
        <w:separator/>
      </w:r>
    </w:p>
  </w:footnote>
  <w:footnote w:type="continuationSeparator" w:id="0">
    <w:p w:rsidR="003B0618" w:rsidRDefault="003B0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2"/>
      <w:gridCol w:w="3495"/>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לתעבורה במחוז תל-אביב (בת-ים)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3B0618" w:rsidP="00CD516B">
          <w:pPr>
            <w:rPr>
              <w:b/>
              <w:bCs/>
              <w:noProof w:val="0"/>
              <w:sz w:val="26"/>
              <w:szCs w:val="26"/>
              <w:rtl/>
            </w:rPr>
          </w:pPr>
          <w:sdt>
            <w:sdtPr>
              <w:rPr>
                <w:rtl/>
              </w:rPr>
              <w:alias w:val="1170"/>
              <w:tag w:val="1170"/>
              <w:id w:val="1066377040"/>
              <w:text w:multiLine="1"/>
            </w:sdtPr>
            <w:sdtEndPr/>
            <w:sdtContent>
              <w:r w:rsidR="00FE09EC">
                <w:rPr>
                  <w:b/>
                  <w:bCs/>
                  <w:noProof w:val="0"/>
                  <w:sz w:val="26"/>
                  <w:szCs w:val="26"/>
                  <w:rtl/>
                </w:rPr>
                <w:t>ת"ד</w:t>
              </w:r>
            </w:sdtContent>
          </w:sdt>
          <w:r w:rsidR="00005C8B">
            <w:rPr>
              <w:b/>
              <w:bCs/>
              <w:noProof w:val="0"/>
              <w:sz w:val="26"/>
              <w:szCs w:val="26"/>
              <w:rtl/>
            </w:rPr>
            <w:t xml:space="preserve"> </w:t>
          </w:r>
          <w:sdt>
            <w:sdtPr>
              <w:rPr>
                <w:rtl/>
              </w:rPr>
              <w:alias w:val="1171"/>
              <w:tag w:val="1171"/>
              <w:id w:val="257034231"/>
              <w:text w:multiLine="1"/>
            </w:sdtPr>
            <w:sdtEndPr/>
            <w:sdtContent>
              <w:r w:rsidR="00FE09EC">
                <w:rPr>
                  <w:b/>
                  <w:bCs/>
                  <w:noProof w:val="0"/>
                  <w:sz w:val="26"/>
                  <w:szCs w:val="26"/>
                  <w:rtl/>
                </w:rPr>
                <w:t>5737-01-20</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FE09EC">
                <w:rPr>
                  <w:b/>
                  <w:bCs/>
                  <w:noProof w:val="0"/>
                  <w:sz w:val="26"/>
                  <w:szCs w:val="26"/>
                  <w:rtl/>
                </w:rPr>
                <w:t>מדינת ישראל נ' נחמני(עציר)</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Pr>
                <w:t>73587/2019</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C7E37"/>
    <w:rsid w:val="001D4DBF"/>
    <w:rsid w:val="001E75CA"/>
    <w:rsid w:val="002265FF"/>
    <w:rsid w:val="00235B97"/>
    <w:rsid w:val="00271B56"/>
    <w:rsid w:val="002C344E"/>
    <w:rsid w:val="002E75E9"/>
    <w:rsid w:val="002F0B1E"/>
    <w:rsid w:val="002F3A31"/>
    <w:rsid w:val="00307A6A"/>
    <w:rsid w:val="00307C40"/>
    <w:rsid w:val="00320433"/>
    <w:rsid w:val="003230C7"/>
    <w:rsid w:val="00327E50"/>
    <w:rsid w:val="0033597A"/>
    <w:rsid w:val="00343D89"/>
    <w:rsid w:val="00362612"/>
    <w:rsid w:val="0036743F"/>
    <w:rsid w:val="003715DD"/>
    <w:rsid w:val="003823E0"/>
    <w:rsid w:val="003A4521"/>
    <w:rsid w:val="003B0618"/>
    <w:rsid w:val="003B3E8D"/>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0024D"/>
    <w:rsid w:val="00511B90"/>
    <w:rsid w:val="00520898"/>
    <w:rsid w:val="00523621"/>
    <w:rsid w:val="00524986"/>
    <w:rsid w:val="005268F6"/>
    <w:rsid w:val="00534216"/>
    <w:rsid w:val="00534284"/>
    <w:rsid w:val="00547DB7"/>
    <w:rsid w:val="005C0627"/>
    <w:rsid w:val="005F4F09"/>
    <w:rsid w:val="0061431B"/>
    <w:rsid w:val="00622BAA"/>
    <w:rsid w:val="006306CF"/>
    <w:rsid w:val="006318D8"/>
    <w:rsid w:val="00636421"/>
    <w:rsid w:val="00644E9A"/>
    <w:rsid w:val="00671BD5"/>
    <w:rsid w:val="006805C1"/>
    <w:rsid w:val="00686C21"/>
    <w:rsid w:val="006931C1"/>
    <w:rsid w:val="00693AD4"/>
    <w:rsid w:val="00694556"/>
    <w:rsid w:val="006B7258"/>
    <w:rsid w:val="006C30C5"/>
    <w:rsid w:val="006D3B31"/>
    <w:rsid w:val="006E0D96"/>
    <w:rsid w:val="006E1A53"/>
    <w:rsid w:val="006F56E6"/>
    <w:rsid w:val="00704EDA"/>
    <w:rsid w:val="00706622"/>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D66C9"/>
    <w:rsid w:val="00AE0E34"/>
    <w:rsid w:val="00AE729E"/>
    <w:rsid w:val="00AE7752"/>
    <w:rsid w:val="00AF7FDA"/>
    <w:rsid w:val="00B5356E"/>
    <w:rsid w:val="00B60840"/>
    <w:rsid w:val="00B62301"/>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80CBE"/>
    <w:rsid w:val="00E9269D"/>
    <w:rsid w:val="00E962E3"/>
    <w:rsid w:val="00EB4DC9"/>
    <w:rsid w:val="00EB6C79"/>
    <w:rsid w:val="00EC0A6B"/>
    <w:rsid w:val="00EC0E83"/>
    <w:rsid w:val="00EC37E9"/>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2A381E" w:rsidP="002A381E">
          <w:pPr>
            <w:pStyle w:val="E460D38E05664FF79D4EFF282EF8EC9930"/>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BD69D1" w:rsidP="00BD69D1">
          <w:pPr>
            <w:pStyle w:val="D290653DA13E4E738B7E725F79D7332922"/>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BD69D1" w:rsidP="00BD69D1">
          <w:pPr>
            <w:pStyle w:val="4672CCA166BA4F0A892EB1D7BA0002CB4"/>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BD69D1" w:rsidP="00BD69D1">
          <w:pPr>
            <w:pStyle w:val="1C8A38705F7143EA87FF3DEB2C34E7E54"/>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BD69D1" w:rsidP="00BD69D1">
          <w:pPr>
            <w:pStyle w:val="4DC45A2FD697422FAA3CD896A84FA7B44"/>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20F4C"/>
    <w:rsid w:val="001A0763"/>
    <w:rsid w:val="002A381E"/>
    <w:rsid w:val="002D02C4"/>
    <w:rsid w:val="00345C9D"/>
    <w:rsid w:val="0048651F"/>
    <w:rsid w:val="004B017A"/>
    <w:rsid w:val="004E2B6C"/>
    <w:rsid w:val="005157ED"/>
    <w:rsid w:val="00556D67"/>
    <w:rsid w:val="00673B50"/>
    <w:rsid w:val="00793995"/>
    <w:rsid w:val="007C6F98"/>
    <w:rsid w:val="007E254A"/>
    <w:rsid w:val="008B4366"/>
    <w:rsid w:val="009133C7"/>
    <w:rsid w:val="009178E4"/>
    <w:rsid w:val="00961B27"/>
    <w:rsid w:val="009A36E7"/>
    <w:rsid w:val="00AA7CE3"/>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A381E"/>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A381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1424</Words>
  <Characters>7123</Characters>
  <Application>Microsoft Office Word</Application>
  <DocSecurity>0</DocSecurity>
  <Lines>59</Lines>
  <Paragraphs>17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2023-07-02T09:13:00Z</dcterms:created>
  <dcterms:modified xsi:type="dcterms:W3CDTF">2023-07-02T09:13:00Z</dcterms:modified>
</cp:coreProperties>
</file>